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12048-02-15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מסארווה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60"/>
        <w:gridCol w:w="2660"/>
      </w:tblGrid>
      <w:tr>
        <w:trPr>
          <w:trHeight w:val="337" w:hRule="atLeast"/>
        </w:trPr>
        <w:tc>
          <w:tcPr>
            <w:tcW w:w="606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טל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–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br/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napToGrid w:val="false"/>
              <w:ind w:end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eastAsia="Times New Roman" w:cs="Arial"/>
          <w:sz w:val="6"/>
          <w:szCs w:val="6"/>
        </w:rPr>
      </w:pPr>
      <w:r>
        <w:rPr>
          <w:rFonts w:eastAsia="Times New Roman" w:cs="Arial" w:ascii="Arial" w:hAnsi="Arial"/>
          <w:sz w:val="6"/>
          <w:szCs w:val="6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start="26"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eastAsia="David"/>
                <w:b/>
                <w:bCs/>
                <w:sz w:val="26"/>
                <w:szCs w:val="26"/>
                <w:rtl w:val="true"/>
              </w:rPr>
              <w:t xml:space="preserve">       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eastAsia="Times New Roman"/>
                <w:rtl w:val="true"/>
              </w:rPr>
              <w:br/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start="26"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David"/>
                <w:b/>
                <w:bCs/>
                <w:sz w:val="26"/>
                <w:szCs w:val="26"/>
                <w:rtl w:val="true"/>
              </w:rPr>
              <w:t xml:space="preserve">       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מיאס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מסארווה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נמיר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בשארה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רקאן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נאסר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חיט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הלאל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חאסקיה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6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עלי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חאסקיה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עימראן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מסארווה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איאס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נאשף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פאשף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רפיק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" 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9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מיסר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מסארוה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10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ליאה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בשארה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11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מעטסם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חאסקיה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12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וואיל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גאנם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13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נאצר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סמארה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14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איאס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מסארוה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15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פיראז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נאשף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16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שאדי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מסארווה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17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מחמד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דאהר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18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מיגדד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חאסקיה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start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19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עמיד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בשארה</w:t>
            </w:r>
            <w:r>
              <w:rPr>
                <w:rFonts w:eastAsia="Times New Roman"/>
                <w:b/>
                <w:bCs/>
                <w:sz w:val="26"/>
                <w:szCs w:val="26"/>
                <w:rtl w:val="true"/>
              </w:rPr>
              <w:br/>
            </w:r>
          </w:p>
        </w:tc>
      </w:tr>
    </w:tbl>
    <w:p>
      <w:pPr>
        <w:pStyle w:val="Normal"/>
        <w:ind w:end="0"/>
        <w:jc w:val="start"/>
        <w:rPr>
          <w:rFonts w:ascii="Arial" w:hAnsi="Arial" w:eastAsia="Times New Roman" w:cs="Arial"/>
          <w:sz w:val="6"/>
          <w:szCs w:val="6"/>
        </w:rPr>
      </w:pPr>
      <w:r>
        <w:rPr>
          <w:rFonts w:eastAsia="Times New Roman" w:cs="Arial" w:ascii="Arial" w:hAnsi="Arial"/>
          <w:sz w:val="6"/>
          <w:szCs w:val="6"/>
          <w:rtl w:val="true"/>
        </w:rPr>
        <w:t>&lt;</w:t>
      </w:r>
      <w:r>
        <w:rPr>
          <w:rFonts w:eastAsia="Times New Roman" w:cs="Arial" w:ascii="Arial" w:hAnsi="Arial"/>
          <w:sz w:val="6"/>
          <w:szCs w:val="6"/>
        </w:rPr>
        <w:t>#2#</w:t>
      </w:r>
      <w:r>
        <w:rPr>
          <w:rFonts w:eastAsia="Times New Roman"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נוכחים</w:t>
      </w:r>
      <w:r>
        <w:rPr>
          <w:rFonts w:eastAsia="Times New Roman" w:cs="Times New Roman" w:ascii="Times New Roman" w:hAnsi="Times New Roman"/>
          <w:b/>
          <w:bCs/>
          <w:rtl w:val="true"/>
        </w:rPr>
        <w:t>:</w:t>
      </w:r>
    </w:p>
    <w:p>
      <w:pPr>
        <w:pStyle w:val="Normal"/>
        <w:ind w:end="0"/>
        <w:jc w:val="start"/>
        <w:rPr>
          <w:rFonts w:ascii="Times New Roman" w:hAnsi="Times New Roman" w:eastAsia="Times New Roman" w:cs="Times New Roman"/>
        </w:rPr>
      </w:pPr>
      <w:bookmarkStart w:id="3" w:name="FirstLawyer"/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</w:t>
      </w:r>
      <w:bookmarkEnd w:id="3"/>
      <w:r>
        <w:rPr>
          <w:rFonts w:ascii="Times New Roman" w:hAnsi="Times New Roman" w:eastAsia="Times New Roman" w:cs="Times New Roman"/>
          <w:rtl w:val="true"/>
        </w:rPr>
        <w:t xml:space="preserve"> המאשימה עו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 xml:space="preserve">ד שירלי לוגסי  </w:t>
      </w:r>
    </w:p>
    <w:p>
      <w:pPr>
        <w:pStyle w:val="Normal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 xml:space="preserve">כ הנאשמים </w:t>
      </w:r>
      <w:r>
        <w:rPr>
          <w:rFonts w:eastAsia="Times New Roman" w:cs="Times New Roman" w:ascii="Times New Roman" w:hAnsi="Times New Roman"/>
        </w:rPr>
        <w:t>9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eastAsia="Times New Roman" w:cs="Times New Roman" w:ascii="Times New Roman" w:hAnsi="Times New Roman"/>
        </w:rPr>
        <w:t>10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eastAsia="Times New Roman" w:cs="Times New Roman" w:ascii="Times New Roman" w:hAnsi="Times New Roman"/>
        </w:rPr>
        <w:t>14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ו – </w:t>
      </w:r>
      <w:r>
        <w:rPr>
          <w:rFonts w:eastAsia="Times New Roman" w:cs="Times New Roman" w:ascii="Times New Roman" w:hAnsi="Times New Roman"/>
        </w:rPr>
        <w:t>19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עו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ד איהב ג</w:t>
      </w:r>
      <w:r>
        <w:rPr>
          <w:rFonts w:eastAsia="Times New Roman" w:cs="Times New Roman" w:ascii="Times New Roman" w:hAnsi="Times New Roman"/>
          <w:rtl w:val="true"/>
        </w:rPr>
        <w:t>'</w:t>
      </w:r>
      <w:r>
        <w:rPr>
          <w:rFonts w:ascii="Times New Roman" w:hAnsi="Times New Roman" w:eastAsia="Times New Roman" w:cs="Times New Roman"/>
          <w:rtl w:val="true"/>
        </w:rPr>
        <w:t>לג</w:t>
      </w:r>
      <w:r>
        <w:rPr>
          <w:rFonts w:eastAsia="Times New Roman" w:cs="Times New Roman" w:ascii="Times New Roman" w:hAnsi="Times New Roman"/>
          <w:rtl w:val="true"/>
        </w:rPr>
        <w:t>'</w:t>
      </w:r>
      <w:r>
        <w:rPr>
          <w:rFonts w:ascii="Times New Roman" w:hAnsi="Times New Roman" w:eastAsia="Times New Roman" w:cs="Times New Roman"/>
          <w:rtl w:val="true"/>
        </w:rPr>
        <w:t xml:space="preserve">ולי </w:t>
      </w:r>
    </w:p>
    <w:p>
      <w:pPr>
        <w:pStyle w:val="Normal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הנאשמים </w:t>
      </w:r>
      <w:r>
        <w:rPr>
          <w:rFonts w:eastAsia="Times New Roman" w:cs="Times New Roman" w:ascii="Times New Roman" w:hAnsi="Times New Roman"/>
        </w:rPr>
        <w:t>9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eastAsia="Times New Roman" w:cs="Times New Roman" w:ascii="Times New Roman" w:hAnsi="Times New Roman"/>
        </w:rPr>
        <w:t>10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eastAsia="Times New Roman" w:cs="Times New Roman" w:ascii="Times New Roman" w:hAnsi="Times New Roman"/>
        </w:rPr>
        <w:t>14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ו – </w:t>
      </w:r>
      <w:r>
        <w:rPr>
          <w:rFonts w:eastAsia="Times New Roman" w:cs="Times New Roman" w:ascii="Times New Roman" w:hAnsi="Times New Roman"/>
        </w:rPr>
        <w:t>19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בעצמם </w:t>
      </w:r>
    </w:p>
    <w:p>
      <w:pPr>
        <w:pStyle w:val="Normal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r>
        <w:rPr>
          <w:rFonts w:eastAsia="Times New Roman"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r>
        <w:rPr>
          <w:rFonts w:ascii="FrankRuehl" w:hAnsi="FrankRuehl" w:eastAsia="Times New Roman" w:cs="FrankRuehl"/>
          <w:rtl w:val="true"/>
        </w:rPr>
        <w:t>חקיקה שאוזכרה</w:t>
      </w:r>
      <w:r>
        <w:rPr>
          <w:rFonts w:eastAsia="Times New Roman"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hyperlink r:id="rId2"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1977</w:t>
        </w:r>
      </w:hyperlink>
      <w:r>
        <w:rPr>
          <w:rFonts w:eastAsia="Times New Roman" w:cs="FrankRuehl" w:ascii="FrankRuehl" w:hAnsi="FrankRuehl"/>
          <w:rtl w:val="true"/>
        </w:rPr>
        <w:t xml:space="preserve">: </w:t>
      </w:r>
      <w:r>
        <w:rPr>
          <w:rFonts w:ascii="FrankRuehl" w:hAnsi="FrankRuehl" w:eastAsia="Times New Roman" w:cs="FrankRuehl"/>
          <w:rtl w:val="true"/>
        </w:rPr>
        <w:t>סע</w:t>
      </w:r>
      <w:r>
        <w:rPr>
          <w:rFonts w:eastAsia="Times New Roman"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144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r>
        <w:rPr>
          <w:rFonts w:eastAsia="Times New Roman"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r>
        <w:rPr>
          <w:rFonts w:eastAsia="Times New Roman"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r>
        <w:rPr>
          <w:rFonts w:eastAsia="Times New Roman"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r>
        <w:rPr>
          <w:rFonts w:eastAsia="Times New Roman"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eastAsia="Times New Roman" w:cs="Arial"/>
          <w:b/>
          <w:bCs/>
          <w:sz w:val="28"/>
          <w:szCs w:val="28"/>
          <w:u w:val="single"/>
        </w:rPr>
      </w:pPr>
      <w:bookmarkStart w:id="8" w:name="PsakDin"/>
      <w:r>
        <w:rPr>
          <w:rFonts w:ascii="Arial" w:hAnsi="Arial" w:eastAsia="Times New Roman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</w:t>
      </w:r>
      <w:bookmarkEnd w:id="8"/>
      <w:r>
        <w:rPr>
          <w:rFonts w:eastAsia="Times New Roman" w:cs="Arial" w:ascii="Arial" w:hAnsi="Arial"/>
          <w:b/>
          <w:bCs/>
          <w:sz w:val="28"/>
          <w:szCs w:val="28"/>
          <w:u w:val="single"/>
          <w:rtl w:val="true"/>
        </w:rPr>
        <w:t>(</w:t>
      </w:r>
      <w:r>
        <w:rPr>
          <w:rFonts w:ascii="Arial" w:hAnsi="Arial" w:eastAsia="Times New Roman" w:cs="Arial"/>
          <w:b/>
          <w:b/>
          <w:bCs/>
          <w:sz w:val="28"/>
          <w:sz w:val="28"/>
          <w:szCs w:val="28"/>
          <w:u w:val="single"/>
          <w:rtl w:val="true"/>
        </w:rPr>
        <w:t xml:space="preserve">נאשמים </w:t>
      </w:r>
      <w:r>
        <w:rPr>
          <w:rFonts w:eastAsia="Times New Roman" w:cs="Arial" w:ascii="Arial" w:hAnsi="Arial"/>
          <w:b/>
          <w:bCs/>
          <w:sz w:val="28"/>
          <w:szCs w:val="28"/>
          <w:u w:val="single"/>
        </w:rPr>
        <w:t>9</w:t>
      </w:r>
      <w:r>
        <w:rPr>
          <w:rFonts w:eastAsia="Times New Roman" w:cs="Arial" w:ascii="Arial" w:hAnsi="Arial"/>
          <w:b/>
          <w:bCs/>
          <w:sz w:val="28"/>
          <w:szCs w:val="28"/>
          <w:u w:val="single"/>
          <w:rtl w:val="true"/>
        </w:rPr>
        <w:t xml:space="preserve">, </w:t>
      </w:r>
      <w:r>
        <w:rPr>
          <w:rFonts w:eastAsia="Times New Roman" w:cs="Arial" w:ascii="Arial" w:hAnsi="Arial"/>
          <w:b/>
          <w:bCs/>
          <w:sz w:val="28"/>
          <w:szCs w:val="28"/>
          <w:u w:val="single"/>
        </w:rPr>
        <w:t>10</w:t>
      </w:r>
      <w:r>
        <w:rPr>
          <w:rFonts w:eastAsia="Times New Roman" w:cs="Arial" w:ascii="Arial" w:hAnsi="Arial"/>
          <w:b/>
          <w:bCs/>
          <w:sz w:val="28"/>
          <w:szCs w:val="28"/>
          <w:u w:val="single"/>
          <w:rtl w:val="true"/>
        </w:rPr>
        <w:t xml:space="preserve">, </w:t>
      </w:r>
      <w:r>
        <w:rPr>
          <w:rFonts w:eastAsia="Times New Roman" w:cs="Arial" w:ascii="Arial" w:hAnsi="Arial"/>
          <w:b/>
          <w:bCs/>
          <w:sz w:val="28"/>
          <w:szCs w:val="28"/>
          <w:u w:val="single"/>
        </w:rPr>
        <w:t>14</w:t>
      </w:r>
      <w:r>
        <w:rPr>
          <w:rFonts w:eastAsia="Times New Roman" w:cs="Arial" w:ascii="Arial" w:hAnsi="Aria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sz w:val="28"/>
          <w:sz w:val="28"/>
          <w:szCs w:val="28"/>
          <w:u w:val="single"/>
          <w:rtl w:val="true"/>
        </w:rPr>
        <w:t xml:space="preserve">ו – </w:t>
      </w:r>
      <w:r>
        <w:rPr>
          <w:rFonts w:eastAsia="Times New Roman" w:cs="Arial" w:ascii="Arial" w:hAnsi="Arial"/>
          <w:b/>
          <w:bCs/>
          <w:sz w:val="28"/>
          <w:szCs w:val="28"/>
          <w:u w:val="single"/>
        </w:rPr>
        <w:t>19</w:t>
      </w:r>
      <w:r>
        <w:rPr>
          <w:rFonts w:eastAsia="Times New Roman" w:cs="Arial" w:ascii="Arial" w:hAnsi="Arial"/>
          <w:b/>
          <w:bCs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eastAsia="Times New Roman" w:cs="Arial"/>
          <w:b/>
          <w:bCs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bookmarkStart w:id="9" w:name="ABSTRACT_START"/>
      <w:bookmarkEnd w:id="9"/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ארבעה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19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שהועמדו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לדין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הורשעו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הודאותיהם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כמפורט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בהכרעת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במסגרת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עותרת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להטיל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לריצוי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קנסות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ומאסרים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תנאי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bookmarkStart w:id="10" w:name="ABSTRACT_END"/>
      <w:bookmarkEnd w:id="10"/>
      <w:r>
        <w:rPr>
          <w:rFonts w:eastAsia="Times New Roman"/>
          <w:rtl w:val="true"/>
        </w:rPr>
        <w:t>לאחר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שעיינתי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בעובדות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המיוחסים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ושמעתי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הגעתי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למסקנה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להקל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ראש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במעשיהם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מעורבים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בדרגות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נשק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הסדר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הטיעון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הגיעו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משקף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נאמנה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האיזון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האינטרס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הציבורי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נסיבותיהם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מתחשב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במיוחד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בהודאותיהם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חסכו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מזמנו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משכך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הדברים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הסדר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הטיעון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סביר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וראוי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ואני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מכבד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אותו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אני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מטיל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9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מיסר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מסארוה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חודש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וחצי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במוסד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שווים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בכפר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סבא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החל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7.7.15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אני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מטיל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נאשמת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10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ליאה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בשארה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</w:rPr>
        <w:t>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במוסד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עלומים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בכפר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סבא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החל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9.6.15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אני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מטיל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14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איאס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מסארוה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במוסד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בכפר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סבא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החל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7.7.15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אני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מטיל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19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עמיד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בשארה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במוסד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ברעננה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החל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2.6.15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אני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מטיל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9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תנאי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ירצה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יעבור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פי</w:t>
      </w:r>
      <w:r>
        <w:rPr>
          <w:rFonts w:eastAsia="Times New Roman"/>
          <w:rtl w:val="true"/>
        </w:rPr>
        <w:t xml:space="preserve"> </w:t>
      </w:r>
      <w:hyperlink r:id="rId4"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/>
            <w:color w:val="0000FF"/>
            <w:u w:val="single"/>
          </w:rPr>
          <w:t>144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hyperlink r:id="rId5">
        <w:r>
          <w:rPr>
            <w:rStyle w:val="Hyperlink"/>
            <w:rFonts w:eastAsia="Times New Roman"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קשירת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לבצע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פשע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אני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מטיל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9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</w:rPr>
        <w:t>14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</w:rPr>
        <w:t>19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קנס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בגובה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5,000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תמורתם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הקנסות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ישולמו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</w:rPr>
        <w:t>10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תשלומים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רצופים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ושווים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500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החל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5.7.15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לחודש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לפירעון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המלא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אי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תשלום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שלושה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תשלומים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יעמיד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הקנס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לפירעון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לגבייה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המרכז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לגביית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קנסות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אני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מטיל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נאשמת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קנס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בגובה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3,000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תמורתו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הקנס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</w:rPr>
        <w:t>10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תשלומים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רצופים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ושווים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300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5.7.15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לחודש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לפירעון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המלא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אי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תשלום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שלושה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תשלומים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יעמיד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הקנס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לפירעון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לגבייה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המרכז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לגביית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קנסות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הנאשמים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יתייצבו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המפקחים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בנציבות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ברמלה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במועדים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שנקובים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08:00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הודעה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לנאשמים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9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</w:rPr>
        <w:t>10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</w:rPr>
        <w:t>14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</w:t>
      </w:r>
      <w:r>
        <w:rPr>
          <w:rFonts w:eastAsia="Times New Roman"/>
          <w:rtl w:val="true"/>
        </w:rPr>
        <w:t xml:space="preserve"> – </w:t>
      </w:r>
      <w:r>
        <w:rPr>
          <w:rFonts w:eastAsia="Times New Roman"/>
        </w:rPr>
        <w:t>19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זכותם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לערער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העליון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45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מהיום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eastAsia="Times New Roman"/>
          <w:sz w:val="6"/>
          <w:szCs w:val="6"/>
        </w:rPr>
      </w:pPr>
      <w:r>
        <w:rPr>
          <w:rFonts w:eastAsia="Times New Roman"/>
          <w:sz w:val="6"/>
          <w:szCs w:val="6"/>
          <w:rtl w:val="true"/>
        </w:rPr>
        <w:t>&lt;</w:t>
      </w:r>
      <w:r>
        <w:rPr>
          <w:rFonts w:eastAsia="Times New Roman"/>
          <w:sz w:val="6"/>
          <w:szCs w:val="6"/>
        </w:rPr>
        <w:t>#4#</w:t>
      </w:r>
      <w:r>
        <w:rPr>
          <w:rFonts w:eastAsia="Times New Roman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eastAsia="Times New Roman"/>
          <w:sz w:val="6"/>
          <w:szCs w:val="6"/>
        </w:rPr>
      </w:pPr>
      <w:r>
        <w:rPr>
          <w:rFonts w:eastAsia="Times New Roman"/>
          <w:sz w:val="6"/>
          <w:szCs w:val="6"/>
          <w:rtl w:val="true"/>
        </w:rPr>
      </w:r>
    </w:p>
    <w:p>
      <w:pPr>
        <w:pStyle w:val="Normal"/>
        <w:ind w:end="0"/>
        <w:jc w:val="center"/>
        <w:rPr>
          <w:rFonts w:eastAsia="Times New Roman"/>
        </w:rPr>
      </w:pPr>
      <w:r>
        <w:rPr>
          <w:rFonts w:eastAsia="Times New Roman"/>
          <w:b/>
          <w:bCs/>
          <w:color w:val="FFFFFF"/>
          <w:sz w:val="2"/>
          <w:szCs w:val="2"/>
        </w:rPr>
        <w:t>5129371</w:t>
      </w:r>
      <w:r>
        <w:rPr>
          <w:rFonts w:eastAsia="Times New Roman"/>
          <w:b/>
          <w:b/>
          <w:bCs/>
          <w:sz w:val="28"/>
          <w:sz w:val="28"/>
          <w:szCs w:val="28"/>
          <w:rtl w:val="true"/>
        </w:rPr>
        <w:t>ניתן והודע היום כ</w:t>
      </w:r>
      <w:r>
        <w:rPr>
          <w:rFonts w:eastAsia="Times New Roman"/>
          <w:b/>
          <w:bCs/>
          <w:sz w:val="28"/>
          <w:szCs w:val="28"/>
          <w:rtl w:val="true"/>
        </w:rPr>
        <w:t>"</w:t>
      </w:r>
      <w:r>
        <w:rPr>
          <w:rFonts w:eastAsia="Times New Roman"/>
          <w:b/>
          <w:b/>
          <w:bCs/>
          <w:sz w:val="28"/>
          <w:sz w:val="28"/>
          <w:szCs w:val="28"/>
          <w:rtl w:val="true"/>
        </w:rPr>
        <w:t>ט אייר תשע</w:t>
      </w:r>
      <w:r>
        <w:rPr>
          <w:rFonts w:eastAsia="Times New Roman"/>
          <w:b/>
          <w:bCs/>
          <w:sz w:val="28"/>
          <w:szCs w:val="28"/>
          <w:rtl w:val="true"/>
        </w:rPr>
        <w:t>"</w:t>
      </w:r>
      <w:r>
        <w:rPr>
          <w:rFonts w:eastAsia="Times New Roman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eastAsia="Times New Roman"/>
          <w:b/>
          <w:bCs/>
          <w:sz w:val="28"/>
          <w:szCs w:val="28"/>
          <w:rtl w:val="true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18/05/2015</w:t>
      </w:r>
      <w:r>
        <w:rPr>
          <w:rFonts w:eastAsia="Times New Roman"/>
          <w:b/>
          <w:bCs/>
          <w:sz w:val="28"/>
          <w:szCs w:val="28"/>
          <w:rtl w:val="true"/>
        </w:rPr>
        <w:t xml:space="preserve"> </w:t>
      </w:r>
      <w:r>
        <w:rPr>
          <w:rFonts w:eastAsia="Times New Roman"/>
          <w:b/>
          <w:b/>
          <w:bCs/>
          <w:sz w:val="28"/>
          <w:sz w:val="28"/>
          <w:szCs w:val="28"/>
          <w:rtl w:val="true"/>
        </w:rPr>
        <w:t>במעמד ב</w:t>
      </w:r>
      <w:r>
        <w:rPr>
          <w:rFonts w:eastAsia="Times New Roman"/>
          <w:b/>
          <w:bCs/>
          <w:sz w:val="28"/>
          <w:szCs w:val="28"/>
          <w:rtl w:val="true"/>
        </w:rPr>
        <w:t>"</w:t>
      </w:r>
      <w:r>
        <w:rPr>
          <w:rFonts w:eastAsia="Times New Roman"/>
          <w:b/>
          <w:b/>
          <w:bCs/>
          <w:sz w:val="28"/>
          <w:sz w:val="28"/>
          <w:szCs w:val="28"/>
          <w:rtl w:val="true"/>
        </w:rPr>
        <w:t>כ הצדדים והנאשמים</w:t>
      </w:r>
      <w:r>
        <w:rPr>
          <w:rFonts w:eastAsia="Times New Roman"/>
          <w:b/>
          <w:bCs/>
          <w:sz w:val="28"/>
          <w:szCs w:val="28"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center"/>
              <w:rPr>
                <w:rFonts w:eastAsia="Times New Roman"/>
                <w:color w:val="FFFFFF"/>
                <w:sz w:val="2"/>
                <w:szCs w:val="2"/>
              </w:rPr>
            </w:pPr>
            <w:r>
              <w:rPr>
                <w:rFonts w:eastAsia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center"/>
              <w:rPr>
                <w:rFonts w:eastAsia="Times New Roman"/>
                <w:color w:val="FFFFFF"/>
                <w:sz w:val="2"/>
                <w:szCs w:val="2"/>
              </w:rPr>
            </w:pPr>
            <w:r>
              <w:rPr>
                <w:rFonts w:eastAsia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/>
                <w:bCs/>
                <w:rtl w:val="true"/>
              </w:rPr>
              <w:t>אברהם</w:t>
            </w:r>
            <w:r>
              <w:rPr>
                <w:rFonts w:eastAsia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/>
                <w:b/>
                <w:b/>
                <w:bCs/>
                <w:rtl w:val="true"/>
              </w:rPr>
              <w:t>טל</w:t>
            </w:r>
            <w:r>
              <w:rPr>
                <w:rFonts w:eastAsia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/>
                <w:b/>
                <w:b/>
                <w:bCs/>
                <w:rtl w:val="true"/>
              </w:rPr>
              <w:t>נשיא</w:t>
            </w:r>
            <w:r>
              <w:rPr>
                <w:rFonts w:eastAsia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David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אברהם טל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12048-02-15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מיאס מסארווה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eaderChar">
    <w:name w:val="Header Char"/>
    <w:qFormat/>
    <w:rPr>
      <w:rFonts w:ascii="David" w:hAnsi="David" w:eastAsia="David" w:cs="David"/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12">
    <w:name w:val="סגנון (לטיני) Arial ‏12 נק' מיושר לשני הצדדים מרווח בין שורות:  ...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2015-05-25T12:22:00Z</dcterms:created>
  <dc:creator> </dc:creator>
  <dc:description/>
  <cp:keywords/>
  <dc:language>en-IL</dc:language>
  <cp:lastModifiedBy>hofit</cp:lastModifiedBy>
  <dcterms:modified xsi:type="dcterms:W3CDTF">2015-05-25T12:22:00Z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מיאס מסארווה;נמיר בשארה;רקאן נאסר;אמיר אבו חיט;הלאל חאסקיה;עלי חאסקיה;עימראן מסארווה;איאס נאשף פאשף #אבו רפיק#;מיסר מסארוה;ליאה בשארה;מעטסם חאסקיה;וואיל אבו גאנם;נאצר סמארה;איאס מסארוה;פיראז נאשף;שאדי מסארווה;מחמד דאהר;מיגדד חאסקיה;עמיד בשארה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ProcID=124;81&amp;PartA=1&amp;PartC=14</vt:lpwstr>
  </property>
  <property fmtid="{D5CDD505-2E9C-101B-9397-08002B2CF9AE}" pid="9" name="CASESLISTTMP1">
    <vt:lpwstr>20245986:2</vt:lpwstr>
  </property>
  <property fmtid="{D5CDD505-2E9C-101B-9397-08002B2CF9AE}" pid="10" name="CITY">
    <vt:lpwstr>מרכז</vt:lpwstr>
  </property>
  <property fmtid="{D5CDD505-2E9C-101B-9397-08002B2CF9AE}" pid="11" name="DATE">
    <vt:lpwstr>20150518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אברהם טל</vt:lpwstr>
  </property>
  <property fmtid="{D5CDD505-2E9C-101B-9397-08002B2CF9AE}" pid="15" name="LAWLISTTMP1">
    <vt:lpwstr>70301/144</vt:lpwstr>
  </property>
  <property fmtid="{D5CDD505-2E9C-101B-9397-08002B2CF9AE}" pid="16" name="LAWYER">
    <vt:lpwstr>שירלי לוגסי;איהב ג'לג'ולי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12048</vt:lpwstr>
  </property>
  <property fmtid="{D5CDD505-2E9C-101B-9397-08002B2CF9AE}" pid="23" name="NEWPARTB">
    <vt:lpwstr>02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390020150518</vt:lpwstr>
  </property>
  <property fmtid="{D5CDD505-2E9C-101B-9397-08002B2CF9AE}" pid="35" name="TYPE_N_DATE">
    <vt:lpwstr>39020150518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