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12158-04-23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אסולין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אליאב אסולין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  <w:sz w:val="10"/>
          <w:szCs w:val="10"/>
        </w:rPr>
      </w:pPr>
      <w:r>
        <w:rPr>
          <w:rFonts w:eastAsia="David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>הנאשם הודה והורשע במסגרת הסדר טיעון בכתב אישום מתוקן בעבירות של החזקת 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hyperlink r:id="rId15"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ג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3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החזקת סם מסוכן לצריכה עצמית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7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(</w:t>
      </w:r>
      <w:hyperlink r:id="rId18">
        <w:r>
          <w:rPr>
            <w:rStyle w:val="Hyperlink"/>
            <w:rFonts w:ascii="David" w:hAnsi="David" w:eastAsia="David"/>
            <w:rtl w:val="true"/>
          </w:rPr>
          <w:t>ג</w:t>
        </w:r>
      </w:hyperlink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סיפא ל</w:t>
      </w:r>
      <w:hyperlink r:id="rId1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ושיבוש מהלכי 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244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הינו אחיו של אופק אסולין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אופק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קים בן קליפה הינה בת זוגו של אופק ובבעלותה רכב מסוג יונדאי 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559-44-902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b/>
          <w:bCs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הרכב</w:t>
      </w:r>
      <w:r>
        <w:rPr>
          <w:rFonts w:eastAsia="Calibri" w:cs="David" w:ascii="David" w:hAnsi="David"/>
          <w:b/>
          <w:bCs/>
          <w:rtl w:val="true"/>
        </w:rPr>
        <w:t>").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אופק וקים מתגוררים בדירה ברחוב מנחם בגין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בקריית מוצקין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הבית</w:t>
      </w:r>
      <w:r>
        <w:rPr>
          <w:rFonts w:eastAsia="Calibri" w:cs="David" w:ascii="David" w:hAnsi="David"/>
          <w:rtl w:val="true"/>
        </w:rPr>
        <w:t>").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30/01/23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החזיק </w:t>
      </w:r>
      <w:bookmarkStart w:id="10" w:name="_Hlk156161087"/>
      <w:r>
        <w:rPr>
          <w:rFonts w:ascii="David" w:hAnsi="David" w:eastAsia="Calibri"/>
          <w:rtl w:val="true"/>
        </w:rPr>
        <w:t xml:space="preserve">מטען חבלה מאולתר שבכוחו לגרום למות אדם בעת התפוצצותו </w:t>
      </w:r>
      <w:bookmarkEnd w:id="10"/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מטען החבלה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בלא רשות על פי דין להחזקת מטען החבלה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מטען החבלה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מתערובת נפץ פירוטכנית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צינורות מתכת סגורים בפקקים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במרכז כל צינור 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דרכו הוחדר רש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 חשמלי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שתי זוגות מוליכים חשמליים חד גידיים וחד סיביים בעלי מעטפת בידוד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מערכת הפעלה אלחוטית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מעגלים אלקטרוניים שחוברו ביניהם באמצעות מחבר פלסטיק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שימוש בסוללה כמקור שחוברה למערכת ההפעלה באמצעות מוליכים חשמליים ודבק 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מערכת ההפעלה אוגדה לפיסת פלציב באמצעות סרטים דביקים בצבע ירוק וצהוב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30/01/23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24:43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אדם אשר זהותו אינה ידועה במדויק למאשימה ניגש לרכב שחנה ליד הבית כשבידיו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והניחו על רצפת החניה מתחת למושב הנהג ברכב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02:00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אותר מטען החבלה על ידי אופק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מונח על רצפת החניה מתחת למושב הנהג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מטען החבלה טופל על ידי חבלן משטרתי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07/02/23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10:10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מספר שוטרים של תחנת משטרת זבולון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השוטרים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אל ביתו של  הנאשם ברחוב קדיש לוז </w:t>
      </w: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קריית מוצקין על מנת לבצע מעצר וחיפוש על פי צווי בית המשפט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השוטרים דפקו בחוזקה על דלת הבית וקראו לנאשם שיפתח את  הדלת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שהיה בדירה לא פתח את הדלת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פרצו השוטרים את דלת הדירה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נכנסו פנימה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הזדהו והציגו את הצווים בפניו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צעק לעבר השוטרים באומרו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תעופו מהבית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 תזוזו אתם לא עושים שום דבר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הסתובב בדירה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שעה לקריאות השוטרים והתנגד למעצרו בכוח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נגרם לו שפשוף במצח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עשה הנאשם בכוונה להפריע לשוטרים כשהם ממלאים תפקידם כחוק או להכשילם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נעצר ושוחרר בתנאים מגבילים ביום </w:t>
      </w:r>
      <w:r>
        <w:rPr>
          <w:rFonts w:eastAsia="Calibri" w:cs="David" w:ascii="David" w:hAnsi="David"/>
        </w:rPr>
        <w:t>15/02/23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23/03/23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הנאשם בדירה סם מסוכן מסוג </w:t>
      </w:r>
      <w:r>
        <w:rPr>
          <w:rFonts w:eastAsia="Calibri" w:cs="David" w:ascii="David" w:hAnsi="David"/>
        </w:rPr>
        <w:t>METHYMETHCATHINONE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במשקל </w:t>
      </w:r>
      <w:r>
        <w:rPr>
          <w:rFonts w:eastAsia="Calibri" w:cs="David" w:ascii="David" w:hAnsi="David"/>
        </w:rPr>
        <w:t>0.9334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נטו לצריכה עצמית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ללא היתר וללא רישיון מאת המנהל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הסם המסוכן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באותו המועד</w:t>
      </w:r>
      <w:r>
        <w:rPr>
          <w:rFonts w:ascii="David" w:hAnsi="David" w:eastAsia="Calibri"/>
          <w:rtl w:val="true"/>
        </w:rPr>
        <w:t xml:space="preserve"> בשעה </w:t>
      </w:r>
      <w:r>
        <w:rPr>
          <w:rFonts w:eastAsia="Calibri" w:cs="David" w:ascii="David" w:hAnsi="David"/>
        </w:rPr>
        <w:t>05:50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נערך חיפוש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י שוטרים של תחנת משטרת זבולון בדירה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שבמהלכו </w:t>
      </w:r>
      <w:r>
        <w:rPr>
          <w:rFonts w:ascii="David" w:hAnsi="David" w:eastAsia="Calibri"/>
          <w:rtl w:val="true"/>
        </w:rPr>
        <w:t>זרק הנאשם מחלון הדירה את הסם המסוכן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בכוונה למנוע או להכשיל הליך שיפוטי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הוגש </w:t>
      </w:r>
      <w:r>
        <w:rPr>
          <w:rFonts w:ascii="David" w:hAnsi="David" w:eastAsia="David"/>
          <w:rtl w:val="true"/>
        </w:rPr>
        <w:t>גיליון הרשעות פלילי של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המאשימה הדגישה את חומרת </w:t>
      </w:r>
      <w:r>
        <w:rPr>
          <w:rFonts w:ascii="David" w:hAnsi="David" w:eastAsia="Calibri"/>
          <w:rtl w:val="true"/>
        </w:rPr>
        <w:t>עבירת הנשק</w:t>
      </w:r>
      <w:r>
        <w:rPr>
          <w:rFonts w:ascii="David" w:hAnsi="David" w:eastAsia="Calibri"/>
          <w:rtl w:val="true"/>
        </w:rPr>
        <w:t xml:space="preserve"> בה הורשע הנאשם תוך מתן דגש על תופעת האלימות באמצעות נשק 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שיש להוקיעה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בדבר קביעת עונשי מינימום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תיקון שיש בו כדי להצביע על רצון המחוקק והצורך להחמיר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 תופעת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לעבירת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לערכים המוגנים של הגנה על בריאותו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הפיזי והנפשי של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הצורך למנוע פגיעה ונזק לחברה שנגרמים מהתופעה של התמכרות לסמים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נזקים בריאותיים ונזקים נלווים כגון ביצוע עבירות רכוש ואלימות לשם השגת המימון לרכישת הסם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ובאשר לעבירת שיבוש מהלכי משפט הפנתה לפגיעה בערך השמירה 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הדגישה כי מדובר בנשק מסוג מטען חבלה מאולתר שבכוחו לגרום למות אדם בעת התפוצצותו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הדעת נותנת כי מי שהחזיק נשק עשה פעולת מקדימות לצורך החזקתו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הסיבות שהביאו את הנאשם לבצע את העבירות נותרו בערפל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מטרת החזקת הנשק תהא אשר תהא חמורה ומהווה סיכון משמעותי לציבור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עמדה על חלקו של הנאשם כאשר הוא החזיק בעצמו את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שבהמשך הונח על ידי אחר שזהותו אינה ידועה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תחת רכבה של בת זוגו של </w:t>
      </w:r>
      <w:r>
        <w:rPr>
          <w:rFonts w:ascii="David" w:hAnsi="David" w:eastAsia="Calibri"/>
          <w:rtl w:val="true"/>
        </w:rPr>
        <w:t>אופק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וגם שיבש מהלכי משפט והחזיק בסמים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אמנם לא נגרם נזק מביצוע עב</w:t>
      </w:r>
      <w:r>
        <w:rPr>
          <w:rFonts w:ascii="David" w:hAnsi="David" w:eastAsia="Calibri"/>
          <w:rtl w:val="true"/>
        </w:rPr>
        <w:t xml:space="preserve">ירת 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זאת רק בזכות ערנותו של אופק </w:t>
      </w:r>
      <w:r>
        <w:rPr>
          <w:rFonts w:ascii="David" w:hAnsi="David" w:eastAsia="Calibri"/>
          <w:rtl w:val="true"/>
        </w:rPr>
        <w:t xml:space="preserve">אחיו של הנאשם </w:t>
      </w:r>
      <w:r>
        <w:rPr>
          <w:rFonts w:ascii="David" w:hAnsi="David" w:eastAsia="Calibri"/>
          <w:rtl w:val="true"/>
        </w:rPr>
        <w:t xml:space="preserve">שגילה את המטען ובכך </w:t>
      </w:r>
      <w:r>
        <w:rPr>
          <w:rFonts w:ascii="David" w:hAnsi="David" w:eastAsia="Calibri"/>
          <w:rtl w:val="true"/>
        </w:rPr>
        <w:t xml:space="preserve">ונמנעה </w:t>
      </w:r>
      <w:r>
        <w:rPr>
          <w:rFonts w:ascii="David" w:hAnsi="David" w:eastAsia="Calibri"/>
          <w:rtl w:val="true"/>
        </w:rPr>
        <w:t>הפגיעה הקשה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מדובר בנאשם בגיר שהבין היטב את מעשיו והשלכותיהן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אינו סובל מלקויות ואינו קרוב לשום סייג לאחריות פלילית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היה במצוקה נפשית ולא קדמה למעשיו התגרות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הפנתה להודאת הנאשם בכתב אישום מתוקן ולעברו הפלילי הכולל הרשעה אחת משנת </w:t>
      </w:r>
      <w:r>
        <w:rPr>
          <w:rFonts w:eastAsia="David" w:cs="David" w:ascii="David" w:hAnsi="David"/>
        </w:rPr>
        <w:t>2019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בגין עבירות 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שם נגזרו עליו בין היתר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לפסיקה רלוונטית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לראות בכל אחד משני האירועים המתוארים בשני האישומים בכתב האישום כאירועים נפרדים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האירוע החזקת מטען החבלה ושיבוש מהלכי משפט כמסכת עובדתית אחת ועבירת הסמים כמסכת עובדתית שנייה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לקבוע שני מתחמי ענישה לכל אחד מהאירועים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ביחס לעבירת הנשק ושיבוש מהלכי משפט</w:t>
      </w:r>
      <w:r>
        <w:rPr>
          <w:rFonts w:ascii="David" w:hAnsi="David" w:eastAsia="David"/>
          <w:rtl w:val="true"/>
        </w:rPr>
        <w:t xml:space="preserve"> טענה </w:t>
      </w:r>
      <w:r>
        <w:rPr>
          <w:rFonts w:ascii="David" w:hAnsi="David" w:eastAsia="David"/>
          <w:rtl w:val="true"/>
        </w:rPr>
        <w:t xml:space="preserve"> למתחם עונש הולם הנע בין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6.5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וביחס לעבירת הסמים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לקבוע מתחם עונש הולם הנע בין מאסר על תנאי ועד מספר חודשי מאסר שיכול וירוצו בעבודות שירות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למקם את עונשו של הנאשם ברף האמצעי בכל אחד מהמתחמים להם עתרה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בנוסף ביקשה לצבור את העונשים במתחמים שהתבקשו על ידה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וכן ביקשה להטיל על הנאשם עונשי מאסר על תנאי ארוכים ומרתיעים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קנס כספי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פסילת רישיון נהיגה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פסילה על תנאי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ההגנה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למצבו הרפואי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</w:t>
      </w:r>
      <w:r>
        <w:rPr>
          <w:rFonts w:ascii="David" w:hAnsi="David" w:eastAsia="Calibri"/>
          <w:rtl w:val="true"/>
        </w:rPr>
        <w:t>הוכר כנכה 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בשל כרית</w:t>
      </w:r>
      <w:r>
        <w:rPr>
          <w:rFonts w:ascii="David" w:hAnsi="David" w:eastAsia="Calibri"/>
          <w:rtl w:val="true"/>
        </w:rPr>
        <w:t>ת איבר מגופו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וכיום הוא </w:t>
      </w:r>
      <w:r>
        <w:rPr>
          <w:rFonts w:ascii="David" w:hAnsi="David" w:eastAsia="Calibri"/>
          <w:rtl w:val="true"/>
        </w:rPr>
        <w:t>מטופל בתרופות נרקוטיות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להתחשב בתקופה בה הנאשם היה עצור מאחורי סורג ובריח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).  </w:t>
      </w:r>
      <w:r>
        <w:rPr>
          <w:rFonts w:ascii="David" w:hAnsi="David" w:eastAsia="Calibri"/>
          <w:rtl w:val="true"/>
        </w:rPr>
        <w:t>באשר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לסוג הנשק כאשר עסקינן במטען חבלה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תקני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שלא ידוע איזה והיקף הנזק שיכול להיגרם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בהעדר אינדיקציה לגבי עוצמת המטען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להעדרם של נתונים לגבי המקום בו הוחזק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המטרה לשמה הוחזק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ומשך זמן ההחזקה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בהעדר נתונים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לייחס לנאשם 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ואין </w:t>
      </w:r>
      <w:r>
        <w:rPr>
          <w:rFonts w:ascii="David" w:hAnsi="David" w:eastAsia="Calibri"/>
          <w:rtl w:val="true"/>
        </w:rPr>
        <w:t>לקבל את טענת המאשימה לפיה קדם למעשיו של הנאשם תכנון או תיאום עם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וזאת בדגש על כך כי נסיבות מציאת המטען </w:t>
      </w:r>
      <w:r>
        <w:rPr>
          <w:rFonts w:ascii="David" w:hAnsi="David" w:eastAsia="Calibri"/>
          <w:rtl w:val="true"/>
        </w:rPr>
        <w:t xml:space="preserve"> אינן </w:t>
      </w:r>
      <w:r>
        <w:rPr>
          <w:rFonts w:ascii="David" w:hAnsi="David" w:eastAsia="Calibri"/>
          <w:rtl w:val="true"/>
        </w:rPr>
        <w:t>חלק מנסיבות 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לעבירת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לכך כי טיב וכמות הסם אינם ידועים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ניות הענישה ביחס לעבירת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אשר 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והסכים למתחם העונש ההולם שהוצע על ידי המאשימה ביחס לעבירת הסמים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בתחתית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המתחמים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הפנה לקשיים אותם חווה במהלך מעצרו בשל מצבו הרפואי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ביקש להתחשב בו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22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2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5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בתחום הנשק הינם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והצורך בשמירה 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להחזיק  בנשק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של ממש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לאחרונה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מחאמיד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24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29.6.2021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סאלח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29.11.2021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עייאט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b/>
          <w:bCs/>
          <w:rtl w:val="true"/>
        </w:rPr>
        <w:t>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2.9.2021</w:t>
      </w:r>
      <w:r>
        <w:rPr>
          <w:rFonts w:eastAsia="David" w:cs="David" w:ascii="David" w:hAnsi="David"/>
          <w:b/>
          <w:bCs/>
          <w:rtl w:val="true"/>
        </w:rPr>
        <w:t xml:space="preserve">)). 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על מנת לשדר מסר מרתיע מפני ביצוען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למשל ב</w:t>
      </w:r>
      <w:hyperlink r:id="rId3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סובח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פסקאות </w:t>
      </w: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>–</w:t>
      </w:r>
      <w:r>
        <w:rPr>
          <w:rFonts w:eastAsia="David" w:cs="David" w:ascii="David" w:hAnsi="David"/>
          <w:b/>
          <w:bCs/>
        </w:rPr>
        <w:t>17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לחוות דעתי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eastAsia="David" w:cs="David" w:ascii="David" w:hAnsi="David"/>
          <w:b/>
          <w:bCs/>
        </w:rPr>
        <w:t>5.11.2019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3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7344/18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יד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eastAsia="David" w:cs="David" w:ascii="David" w:hAnsi="David"/>
          <w:b/>
          <w:bCs/>
        </w:rPr>
        <w:t>21.10.2018</w:t>
      </w:r>
      <w:r>
        <w:rPr>
          <w:rFonts w:eastAsia="David" w:cs="David" w:ascii="David" w:hAnsi="David"/>
          <w:b/>
          <w:bCs/>
          <w:rtl w:val="true"/>
        </w:rPr>
        <w:t>))."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 w:before="240" w:after="240"/>
        <w:ind w:start="643" w:end="0"/>
        <w:contextualSpacing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יש ליתן משקל נכבד לכך שעסקינן בתיק שעניינו בהחזקת מטען חבלה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בכלי נשק התקפי ורב עוצמה שהשימוש בו יכול להביא להרג ללא הבחנה ואינו מתיישב עם מטרה אחרת כלשהי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ראה </w:t>
      </w:r>
      <w:hyperlink r:id="rId3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6210/13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גונן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שם נאמרו הדברים הבאים </w:t>
      </w:r>
      <w:r>
        <w:rPr>
          <w:rFonts w:eastAsia="Calibri" w:cs="David" w:ascii="David" w:hAnsi="David"/>
          <w:rtl w:val="true"/>
        </w:rPr>
        <w:t>:"</w:t>
      </w:r>
      <w:r>
        <w:rPr>
          <w:rFonts w:ascii="David" w:hAnsi="David" w:eastAsia="Calibri"/>
          <w:b/>
          <w:b/>
          <w:bCs/>
          <w:rtl w:val="true"/>
        </w:rPr>
        <w:t>אין צורך להכביר מילים על מסוכנותם הרבה של חומרי נפץ ומטעני חבלה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מדובר בסכנת נפשות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פשוטו כמשמעו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יש למגר תופעה של סחר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נשיאה והובלה של נשק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ניתן להתפשר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מידת הרחמים צריכה להיות מופנית יותר אל הציבור הרחב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מאשר כלפי המערער ואחרים שכמותו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שמסכנים חיי אדם בצורה שכזו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b/>
          <w:b/>
          <w:bCs/>
          <w:rtl w:val="true"/>
        </w:rPr>
        <w:t>וב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גריפאת</w:t>
      </w:r>
      <w:r>
        <w:rPr>
          <w:rFonts w:ascii="David" w:hAnsi="David" w:eastAsia="Calibri"/>
          <w:u w:val="single"/>
          <w:rtl w:val="true"/>
        </w:rPr>
        <w:t xml:space="preserve"> </w:t>
      </w:r>
      <w:r>
        <w:rPr>
          <w:rFonts w:ascii="David" w:hAnsi="David" w:eastAsia="Calibri"/>
          <w:rtl w:val="true"/>
        </w:rPr>
        <w:t>נאמר גם</w:t>
      </w:r>
      <w:r>
        <w:rPr>
          <w:rFonts w:eastAsia="Calibri" w:cs="David" w:ascii="David" w:hAnsi="David"/>
          <w:rtl w:val="true"/>
        </w:rPr>
        <w:t>:"...</w:t>
      </w:r>
      <w:r>
        <w:rPr>
          <w:rFonts w:ascii="David" w:hAnsi="David" w:eastAsia="Calibri"/>
          <w:b/>
          <w:b/>
          <w:bCs/>
          <w:rtl w:val="true"/>
        </w:rPr>
        <w:t>יש ליתן משקל נכבד לכך שעסקינן בתיק שעניינו בהחזקה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הובלה ונשיאה של מטען חבלה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מדובר בכלי נשק התקפי ורב עוצמה שהשימוש בו יכול להביא להרג ללא הבחנה ואינו מתיישב עם מטרה אחרת כלשהי</w:t>
      </w:r>
      <w:r>
        <w:rPr>
          <w:rFonts w:eastAsia="Calibri" w:cs="David" w:ascii="David" w:hAnsi="David"/>
          <w:rtl w:val="true"/>
        </w:rPr>
        <w:t xml:space="preserve">..." . </w:t>
      </w:r>
    </w:p>
    <w:p>
      <w:pPr>
        <w:pStyle w:val="Normal"/>
        <w:spacing w:lineRule="auto" w:line="360" w:before="240" w:after="240"/>
        <w:ind w:start="643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240" w:after="240"/>
        <w:ind w:start="643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 w:eastAsia="Calibri"/>
          <w:rtl w:val="true"/>
        </w:rPr>
        <w:t xml:space="preserve">בית המשפט העליון הדגיש כי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אין צורך להכביר מילים על המסוכנות הרבה של חומרי נפץ ומטעני חבלה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סכנת נפשות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פשוטו כמשמעו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שומה למגר תופעה של סחר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נשיאה והובלה של נשק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ניתן להתפשר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ולא לנהוג בסובלנות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רחמנות יתרה על המערער ועל אחרים שכמותו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כמוה כהתאכזרות אל הציבור הרחב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מדובר בחיי אדם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hyperlink r:id="rId3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3491/13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טוויק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b/>
          <w:bCs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643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הסמים הן פוגעות בערכים החברתיים של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ביטחונו ובריאותו מפני הפגיעה ההרסנית הכרוכה בשימוש באותם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צורך לפעול למניעת אותם נזקים כלכליים וחברתיים עקיפים הנגרמים עקב השימוש באותם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ההלכה הפסוקה עמדה על ההכרח להיאבק בנגע הסמים ועל הצורך להעביר מסר מרתיע מפני ביצוע 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ית המשפט העליון גם עמד פעמים רבות על חומרתן היתרה של 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ההשלכות הקשות שיש לשימוש בסם על גופו ועל נפשו של המשתמש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בעניין זה 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6029/03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שמאי</w:t>
      </w:r>
      <w:r>
        <w:rPr>
          <w:rFonts w:ascii="David" w:hAnsi="David"/>
          <w:rtl w:val="true"/>
        </w:rPr>
        <w:t xml:space="preserve"> שם נקבע כי הענישה אמורה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לשקף את הצורך הדוחק להביא להדברת הנגע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אחת נדרשו בתי המשפט לנזקים הישירים והעקיפים הנגרמים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במישרין ובעקיפין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משימוש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סמים אף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פוגעת בבריאות הציבור וחושפת אותו לנזקים נלווים ולעבירות נוספות המבוצעות לצורך מימון ורכישת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4998/95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גומז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קרדוסו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6029/03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גולן שמאי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4381/05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 זקיקה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211/09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אזולאי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Calibri"/>
          <w:rtl w:val="true"/>
        </w:rPr>
        <w:t>ביחס לעבירה של שיבוש מהלכי 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נפגעים ערכים הקשורים </w:t>
      </w:r>
      <w:r>
        <w:rPr>
          <w:rFonts w:ascii="David" w:hAnsi="David"/>
          <w:rtl w:val="true"/>
        </w:rPr>
        <w:t>בטוהר ההליך השיפוטי ותקינותו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ויכולת התביעה ובתי המשפט להגיע אל חקר האמת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7153/99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אלגד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נאמר בהקשר זה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ביסוד שיטת המשפט שלנו מעוגן העיקרון שלפיו הליכי משפט קשורים קשר אמיץ עם החובה לומר אמת בכל הליכים שהועדו לעשיית משפט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על כן בהקשרם של הליכים לעשיית 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החובה לומר אמת אינה רק בגדר חובה מוסרית אלא היא אף חובה משפטית הנגזרת מהוראות החוק וממהותו של ההליך המשפטי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חשיפת האמת ועשיית צדק הן מהתכליות המובהקות של ההליך הפלילי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שקר ביודעין בחקירה משטרתית פוגעת בהכרח בערך החברתי של גילוי האמת ושל עשיית משפט אמת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אף עלולה לפגוע בתקינותה של החקירה הקונקרטית שבמסגרתה נאמר השקר ועקב כך לפגוע באינטרס עשיית הצדק ובשמירה על טוהר ההליך הפלילי בכל שלביו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tLeast" w:line="360" w:before="240" w:after="240"/>
        <w:ind w:hanging="360" w:start="720" w:end="0"/>
        <w:contextualSpacing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הנאשם החזיק נשק התקפי קטלני מסוג מטען חבלה מאולתר</w:t>
      </w:r>
      <w:r>
        <w:rPr>
          <w:rFonts w:eastAsia="Calibri" w:cs="David" w:ascii="David" w:hAnsi="David"/>
          <w:color w:val="000000"/>
          <w:rtl w:val="true"/>
        </w:rPr>
        <w:t>,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שבכוחו להמית אדם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הגם ש</w:t>
      </w:r>
      <w:r>
        <w:rPr>
          <w:rFonts w:ascii="David" w:hAnsi="David" w:eastAsia="Calibri"/>
          <w:color w:val="000000"/>
          <w:rtl w:val="true"/>
        </w:rPr>
        <w:t>כתב האישום לא ציין את הרקע להחזקת מטען החבלה או נתון בדבר הכוונה להפעיל את המטען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הרי שאין בכך כדי לגרוע מפוטנציאל הנזק הגלום בעבירה</w:t>
      </w:r>
      <w:r>
        <w:rPr>
          <w:rFonts w:eastAsia="Calibri" w:cs="David" w:ascii="David" w:hAnsi="David"/>
          <w:color w:val="000000"/>
          <w:rtl w:val="true"/>
        </w:rPr>
        <w:t>,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לרבות </w:t>
      </w:r>
      <w:r>
        <w:rPr>
          <w:rFonts w:ascii="David" w:hAnsi="David" w:eastAsia="Calibri"/>
          <w:color w:val="000000"/>
          <w:rtl w:val="true"/>
        </w:rPr>
        <w:t xml:space="preserve">פגיעה </w:t>
      </w:r>
      <w:r>
        <w:rPr>
          <w:rFonts w:ascii="David" w:hAnsi="David" w:eastAsia="Calibri"/>
          <w:color w:val="000000"/>
          <w:rtl w:val="true"/>
        </w:rPr>
        <w:t xml:space="preserve">קשה וקטלנית </w:t>
      </w:r>
      <w:r>
        <w:rPr>
          <w:rFonts w:ascii="David" w:hAnsi="David" w:eastAsia="Calibri"/>
          <w:color w:val="000000"/>
          <w:rtl w:val="true"/>
        </w:rPr>
        <w:t>בעוברי אורח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בהקשר זה יש לזכור כי מטבעו מטען חבלה  הינו במידה רבה נשק חסר הבחנה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ובהתאם גם מתעצם פוטנציאל הנזק הנשקף ממנו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240" w:after="240"/>
        <w:ind w:start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נסיבה נוספת לחומרה הינה העובדה שהמטען לא נותר בחזקתו של הנאשם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אלא מצא את דרכו אל מתחת לרכב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ורק במזל האירוע לא הסתיים בפציעה קשה או במותו של אדם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אמנם נשיאת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הובלת והנחת המטען אינם מיוחסים לנאשם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אך העובדה שנעשה במטען שימוש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ascii="David" w:hAnsi="David" w:eastAsia="Calibri"/>
          <w:color w:val="000000"/>
          <w:rtl w:val="true"/>
        </w:rPr>
        <w:t>גם אם לא הופעל</w:t>
      </w:r>
      <w:r>
        <w:rPr>
          <w:rFonts w:eastAsia="Calibri" w:cs="David" w:ascii="David" w:hAnsi="David"/>
          <w:color w:val="000000"/>
          <w:rtl w:val="true"/>
        </w:rPr>
        <w:t xml:space="preserve">), </w:t>
      </w:r>
      <w:r>
        <w:rPr>
          <w:rFonts w:ascii="David" w:hAnsi="David" w:eastAsia="Calibri"/>
          <w:color w:val="000000"/>
          <w:rtl w:val="true"/>
        </w:rPr>
        <w:t>מלמדת על פוטנציאל הנזק הנשקף גם מהחזקתו של מטען החבלה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240" w:after="240"/>
        <w:ind w:start="720" w:end="0"/>
        <w:contextualSpacing/>
        <w:jc w:val="both"/>
        <w:rPr>
          <w:rFonts w:ascii="David" w:hAnsi="David" w:eastAsia="Calibri" w:cs="David"/>
          <w:color w:val="000000"/>
          <w:sz w:val="16"/>
          <w:szCs w:val="16"/>
        </w:rPr>
      </w:pPr>
      <w:r>
        <w:rPr>
          <w:rFonts w:ascii="David" w:hAnsi="David" w:eastAsia="Calibri"/>
          <w:color w:val="000000"/>
          <w:rtl w:val="true"/>
        </w:rPr>
        <w:t>מטרת החזקת המטען לא הובררה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אך אין להניח לטובת הנאשם כי מדובר בנסיבות תמימות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כאמור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מטען חבלה הינו נשק התקפי רב עוצמה ולא ניתן לחשוב ולו על סיבה אחת תמימה  להחזקתו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מה בפרט שהנאשם עצמו לא סיפק כל הסבר בהקשר זה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240" w:after="240"/>
        <w:ind w:start="720" w:end="0"/>
        <w:contextualSpacing/>
        <w:jc w:val="both"/>
        <w:rPr>
          <w:rFonts w:ascii="David" w:hAnsi="David" w:eastAsia="Calibri" w:cs="David"/>
          <w:color w:val="000000"/>
          <w:sz w:val="8"/>
          <w:szCs w:val="8"/>
        </w:rPr>
      </w:pPr>
      <w:r>
        <w:rPr>
          <w:rFonts w:eastAsia="Calibri" w:cs="David" w:ascii="David" w:hAnsi="David"/>
          <w:color w:val="000000"/>
          <w:sz w:val="8"/>
          <w:szCs w:val="8"/>
          <w:rtl w:val="true"/>
        </w:rPr>
      </w:r>
    </w:p>
    <w:p>
      <w:pPr>
        <w:pStyle w:val="Normal"/>
        <w:spacing w:lineRule="atLeast" w:line="330" w:before="0" w:after="0"/>
        <w:ind w:start="720" w:end="0"/>
        <w:contextualSpacing/>
        <w:jc w:val="both"/>
        <w:rPr/>
      </w:pPr>
      <w:r>
        <w:rPr>
          <w:rFonts w:ascii="David" w:hAnsi="David" w:eastAsia="Calibri"/>
          <w:color w:val="000000"/>
          <w:rtl w:val="true"/>
        </w:rPr>
        <w:t>הנאשם יכול היה לחדול ממעשיו ולהפסיקם אך הוא לא עשה כן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בנוסף בעת </w:t>
      </w:r>
      <w:r>
        <w:rPr>
          <w:rFonts w:ascii="David" w:hAnsi="David" w:eastAsia="Calibri"/>
          <w:color w:val="000000"/>
          <w:rtl w:val="true"/>
        </w:rPr>
        <w:t xml:space="preserve">הגעת </w:t>
      </w:r>
      <w:r>
        <w:rPr>
          <w:rFonts w:ascii="David" w:hAnsi="David" w:eastAsia="Calibri"/>
          <w:color w:val="000000"/>
          <w:rtl w:val="true"/>
        </w:rPr>
        <w:t>ה</w:t>
      </w:r>
      <w:r>
        <w:rPr>
          <w:rFonts w:ascii="David" w:hAnsi="David" w:eastAsia="Calibri"/>
          <w:color w:val="000000"/>
          <w:rtl w:val="true"/>
        </w:rPr>
        <w:t>שוטרים לבי</w:t>
      </w:r>
      <w:r>
        <w:rPr>
          <w:rFonts w:ascii="David" w:hAnsi="David" w:eastAsia="Calibri"/>
          <w:color w:val="000000"/>
          <w:rtl w:val="true"/>
        </w:rPr>
        <w:t>תו</w:t>
      </w:r>
      <w:r>
        <w:rPr>
          <w:rFonts w:ascii="David" w:hAnsi="David" w:eastAsia="Calibri"/>
          <w:color w:val="000000"/>
          <w:rtl w:val="true"/>
        </w:rPr>
        <w:t xml:space="preserve"> על מנת לבצע מעצר וחיפוש על פי צו בית משפט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הנאשם </w:t>
      </w:r>
      <w:r>
        <w:rPr>
          <w:rFonts w:ascii="David" w:hAnsi="David" w:eastAsia="Calibri"/>
          <w:color w:val="000000"/>
          <w:rtl w:val="true"/>
        </w:rPr>
        <w:t xml:space="preserve">לא פתח </w:t>
      </w:r>
      <w:r>
        <w:rPr>
          <w:rFonts w:ascii="David" w:hAnsi="David" w:eastAsia="Calibri"/>
          <w:color w:val="000000"/>
          <w:rtl w:val="true"/>
        </w:rPr>
        <w:t xml:space="preserve">את הדלת </w:t>
      </w:r>
      <w:r>
        <w:rPr>
          <w:rFonts w:ascii="David" w:hAnsi="David" w:eastAsia="Calibri"/>
          <w:color w:val="000000"/>
          <w:rtl w:val="true"/>
        </w:rPr>
        <w:t>וה</w:t>
      </w:r>
      <w:r>
        <w:rPr>
          <w:rFonts w:ascii="David" w:hAnsi="David" w:eastAsia="Calibri"/>
          <w:color w:val="000000"/>
          <w:rtl w:val="true"/>
        </w:rPr>
        <w:t>שוטרים נאלצו</w:t>
      </w:r>
      <w:r>
        <w:rPr>
          <w:rFonts w:ascii="David" w:hAnsi="David" w:eastAsia="Calibri"/>
          <w:color w:val="000000"/>
          <w:rtl w:val="true"/>
        </w:rPr>
        <w:t xml:space="preserve"> לפרוץ את הדלת ועם כניסתם הנאשם התנג</w:t>
      </w:r>
      <w:r>
        <w:rPr>
          <w:rFonts w:ascii="David" w:hAnsi="David" w:eastAsia="Calibri"/>
          <w:color w:val="000000"/>
          <w:rtl w:val="true"/>
        </w:rPr>
        <w:t>ד למעצרו בכוח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tLeast" w:line="330" w:before="0" w:after="0"/>
        <w:ind w:start="720" w:end="0"/>
        <w:contextualSpacing/>
        <w:jc w:val="both"/>
        <w:rPr>
          <w:rFonts w:ascii="David" w:hAnsi="David" w:eastAsia="Calibri" w:cs="David"/>
          <w:color w:val="000000"/>
          <w:sz w:val="14"/>
          <w:szCs w:val="14"/>
        </w:rPr>
      </w:pPr>
      <w:r>
        <w:rPr>
          <w:rFonts w:eastAsia="Calibri" w:cs="David" w:ascii="David" w:hAnsi="David"/>
          <w:color w:val="000000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30"/>
        <w:ind w:hanging="360" w:start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rtl w:val="true"/>
        </w:rPr>
        <w:t>מאחר וכתב האישום לא מציין את פרק הזמן אותו הנאשם החזיק ב</w:t>
      </w:r>
      <w:r>
        <w:rPr>
          <w:rFonts w:ascii="David" w:hAnsi="David" w:eastAsia="Calibri"/>
          <w:rtl w:val="true"/>
        </w:rPr>
        <w:t>מטען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לטובתו כי הוא עשה כן לפרק זמן קצר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בנוסף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כתב האישום לא מתאר תכנון מוקדם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ובהתאם אין גם לייחס</w:t>
      </w:r>
      <w:r>
        <w:rPr>
          <w:rFonts w:ascii="David" w:hAnsi="David" w:eastAsia="Calibri"/>
          <w:color w:val="000000"/>
          <w:rtl w:val="true"/>
        </w:rPr>
        <w:t xml:space="preserve"> זאת לנאשם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tLeast" w:line="330"/>
        <w:ind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rtl w:val="true"/>
        </w:rPr>
        <w:t>אשר לטענת הנאשם לפיה אין נתון בנוגע למשקלו ועוצמתו של המטען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שאין בכך כדי להוות נסיבה מקלה נוכח העובדה שמדובר במטען חבלה קטלני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tLeast" w:line="330"/>
        <w:ind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30"/>
        <w:ind w:hanging="360" w:start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בנוסף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הנאשם הודה בעבירות של החזקת סמים לצריכה עצמית בכמות קטנה יחסית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ושיבוש מהלכי משפט ביחס לסם אותו זרק מחלון הדירה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ListParagraph"/>
        <w:spacing w:lineRule="atLeast" w:line="330"/>
        <w:ind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כי במקרה זה מידת הפגיעה בערכים המוגנים ביחס </w:t>
      </w:r>
      <w:r>
        <w:rPr>
          <w:rFonts w:ascii="David" w:hAnsi="David" w:eastAsia="David"/>
          <w:rtl w:val="true"/>
        </w:rPr>
        <w:t>לעבירת החזקת נשק מצוי ברף חומרה בינוני  ומעלה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וביחס לשאר העבירות ברף חומרה בינוני ומטה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30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אירוע אחד או מספר אירועים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160"/>
        <w:ind w:hanging="360" w:start="720" w:end="0"/>
        <w:contextualSpacing/>
        <w:jc w:val="both"/>
        <w:textAlignment w:val="baseline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כתב האישום המתוקן מתאר שני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הראשון לפיו מיוחסים לנאשם עבירות נשק ושיבוש מהלכי משפט והאירוע השני עבירת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לבחון האם מדובר בעבירות המהוות אירוע אחד או מספר 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לקבוע מתחם ענישה הולם לכל אירוע בנפרד או לכלל האירועים יחדיו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בהתאם </w:t>
      </w:r>
      <w:hyperlink r:id="rId4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4910/13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אבר נגד מדינת ישראל</w:t>
      </w:r>
      <w:r>
        <w:rPr>
          <w:rFonts w:ascii="David" w:hAnsi="David"/>
          <w:rtl w:val="true"/>
        </w:rPr>
        <w:t xml:space="preserve"> דן בשאלת סיווגה של מסכת התרחשויות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כמשמעותו </w:t>
      </w:r>
      <w:hyperlink r:id="rId4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נקבעו מספר מבחני עזר לצורך הכרעה  בשאלת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הקשר 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לדוגמא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מאופיין בתכנון ובשיטתיות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בוצעו בסמיכות של זמן או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ביצועה של עבירה אחת נועד לאפשר ביצועה של עבירה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את ההמלטות לאחר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מדובר בקורבנות שונים וכתובות שונות וכד</w:t>
      </w:r>
      <w:r>
        <w:rPr>
          <w:rFonts w:cs="David" w:ascii="David" w:hAnsi="David"/>
          <w:rtl w:val="true"/>
        </w:rPr>
        <w:t xml:space="preserve">'. </w:t>
      </w:r>
    </w:p>
    <w:p>
      <w:pPr>
        <w:pStyle w:val="Normal"/>
        <w:overflowPunct w:val="false"/>
        <w:spacing w:lineRule="auto" w:line="360" w:before="0" w:after="160"/>
        <w:ind w:start="720" w:end="0"/>
        <w:contextualSpacing/>
        <w:jc w:val="both"/>
        <w:textAlignment w:val="baseline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במקרה הנדון לא מדובר </w:t>
      </w:r>
      <w:r>
        <w:rPr>
          <w:rFonts w:ascii="David" w:hAnsi="David"/>
          <w:rtl w:val="true"/>
        </w:rPr>
        <w:t>בתכנית עבריינית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מדובר בעבירות שונות בתכלית שבוצעו בהפרש זמנם של כחודש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בהתאם יש לקבוע </w:t>
      </w:r>
      <w:r>
        <w:rPr>
          <w:rFonts w:ascii="David" w:hAnsi="David"/>
          <w:rtl w:val="true"/>
        </w:rPr>
        <w:t>כי מדובר בשני אירועים נפרדים כ</w:t>
      </w:r>
      <w:r>
        <w:rPr>
          <w:rFonts w:ascii="David" w:hAnsi="David"/>
          <w:rtl w:val="true"/>
        </w:rPr>
        <w:t xml:space="preserve">פי </w:t>
      </w:r>
      <w:r>
        <w:rPr>
          <w:rFonts w:ascii="David" w:hAnsi="David"/>
          <w:rtl w:val="true"/>
        </w:rPr>
        <w:t>עתירת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pacing w:lineRule="atLeast" w:line="330" w:before="0" w:after="160"/>
        <w:ind w:hanging="360" w:start="720" w:end="0"/>
        <w:contextualSpacing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אקדים ואציין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כי מרבית הפסיקה במקרים של מטען חבלה הינה בעבירות של נשיאה והובלה שהינן עבירות חמורות יותר ובהתאם גם ייקבע מתחם העונש ההולם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tLeast" w:line="330" w:before="0" w:after="0"/>
        <w:ind w:start="720" w:end="0"/>
        <w:contextualSpacing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</w:t>
      </w:r>
      <w:hyperlink r:id="rId5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גריפאת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הנאשם הורשע בעבירות של החזקה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הובלה ונשיאה של </w:t>
      </w:r>
      <w:r>
        <w:rPr>
          <w:rFonts w:ascii="David" w:hAnsi="David" w:eastAsia="Calibri"/>
          <w:color w:val="000000"/>
          <w:rtl w:val="true"/>
        </w:rPr>
        <w:t>שלושה מטעני חבלה</w:t>
      </w:r>
      <w:r>
        <w:rPr>
          <w:rFonts w:ascii="David" w:hAnsi="David" w:eastAsia="Calibri"/>
          <w:color w:val="000000"/>
          <w:sz w:val="36"/>
          <w:sz w:val="36"/>
          <w:szCs w:val="36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כחלק מפרשה של עסקת נשק יחד עם שניים נוספים 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ascii="David" w:hAnsi="David" w:eastAsia="Calibri"/>
          <w:color w:val="000000"/>
          <w:rtl w:val="true"/>
        </w:rPr>
        <w:t>כאשר חלקו בביצוע העבירה התמצה בהובלת מעורב אחר ברכב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לאור חלקו המשני נקבע </w:t>
      </w:r>
      <w:r>
        <w:rPr>
          <w:rFonts w:ascii="David" w:hAnsi="David" w:eastAsia="Calibri"/>
          <w:color w:val="000000"/>
          <w:rtl w:val="true"/>
        </w:rPr>
        <w:t xml:space="preserve">מתחם עונש הולם הנע בין </w:t>
      </w:r>
      <w:r>
        <w:rPr>
          <w:rFonts w:eastAsia="Calibri" w:cs="David" w:ascii="David" w:hAnsi="David"/>
          <w:color w:val="000000"/>
        </w:rPr>
        <w:t>24-6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</w:t>
      </w:r>
      <w:r>
        <w:rPr>
          <w:rFonts w:ascii="David" w:hAnsi="David" w:eastAsia="Calibri"/>
          <w:color w:val="000000"/>
          <w:rtl w:val="true"/>
        </w:rPr>
        <w:t>נ</w:t>
      </w:r>
      <w:r>
        <w:rPr>
          <w:rFonts w:ascii="David" w:hAnsi="David" w:eastAsia="Calibri"/>
          <w:color w:val="000000"/>
          <w:rtl w:val="true"/>
        </w:rPr>
        <w:t xml:space="preserve">גזר עונש של </w:t>
      </w:r>
      <w:r>
        <w:rPr>
          <w:rFonts w:eastAsia="Calibri" w:cs="David" w:ascii="David" w:hAnsi="David"/>
          <w:color w:val="000000"/>
        </w:rPr>
        <w:t>7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ערעור על קולת העונש התקבל ועונשו הועמד על </w:t>
      </w:r>
      <w:r>
        <w:rPr>
          <w:rFonts w:eastAsia="Calibri" w:cs="David" w:ascii="David" w:hAnsi="David"/>
          <w:color w:val="000000"/>
        </w:rPr>
        <w:t>14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</w:t>
      </w:r>
      <w:hyperlink r:id="rId5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2231/18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‏‏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בדוואן נ</w:t>
      </w:r>
      <w:r>
        <w:rPr>
          <w:rFonts w:eastAsia="Calibri" w:cs="David" w:ascii="David" w:hAnsi="David"/>
          <w:b/>
          <w:bCs/>
          <w:color w:val="000000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הנאשם הורשע בעבירות של הצתה ונשיאה והובלה מטען חבלה אותו התבקש להניח בפתחו של בית עסק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הנאשם החזיק במטען החבלה ימים ספורים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ואז החזירו לאחר בטענה שהמטען אינו תקין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עונש הולם הנע בין </w:t>
      </w:r>
      <w:r>
        <w:rPr>
          <w:rFonts w:eastAsia="Calibri" w:cs="David" w:ascii="David" w:hAnsi="David"/>
          <w:color w:val="000000"/>
        </w:rPr>
        <w:t>12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 עונש כולל בגין שני האישומים של </w:t>
      </w:r>
      <w:r>
        <w:rPr>
          <w:rFonts w:eastAsia="Calibri" w:cs="David" w:ascii="David" w:hAnsi="David"/>
          <w:color w:val="000000"/>
        </w:rPr>
        <w:t>32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התקבל ועונש הופחת 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26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ב</w:t>
      </w:r>
      <w:hyperlink r:id="rId5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5336/13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צדוק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הנאשם הורשע בעבירה של נשיאה והובלה של נשק בכך שקיבל מאחר שקית ובה מטען חבלה ומשדר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הוא הכניסם את השקית לארגז הקטנוע והוביל בצוותא עם אחר את המטען והסתירו תחת שיח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במסגרת הסדר הטיעון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הוסכם כי המדינה תעתור לעונש של 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בעוד שהמערער יטען כרצונו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 </w:t>
      </w:r>
      <w:r>
        <w:rPr>
          <w:rFonts w:eastAsia="Calibri" w:cs="David" w:ascii="David" w:hAnsi="David"/>
          <w:color w:val="000000"/>
        </w:rPr>
        <w:t>20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tl w:val="true"/>
        </w:rPr>
        <w:t>ב</w:t>
      </w:r>
      <w:hyperlink r:id="rId5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5806/19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בושרי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הנאשם הורשע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ascii="David" w:hAnsi="David" w:eastAsia="Calibri"/>
          <w:color w:val="000000"/>
          <w:rtl w:val="true"/>
        </w:rPr>
        <w:t>יחד עם נאשם נוסף שסייע לו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על בעבירות של נשיאה והובלה של נשק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חבלה במזיד ברכב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הפרעה לשוטר במילוי תפקידו ושיבוש מהלכי משפט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בכך שנשא והוביל ברכב בו נהג נשק הכולל שלושה טלפונים סלולריים אשר הוסבו כמערכת הפעלה היכולה לשמש למטען חבלה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אמצעי ייזום הכוללים שני נפצי חבלה ושש סוללות המתאימות להפעלת הטלפונים הסלולריים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רכיבים אלו התאימו אחד לשני והיוו חלק ממרכיביו של מטען חבלה מאולתר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הנאשם ניסה להימלט מרכב משטרתי סמוי שדלק אחריו וניסה לעצרו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ענישה שנע בין </w:t>
      </w:r>
      <w:r>
        <w:rPr>
          <w:rFonts w:eastAsia="Calibri" w:cs="David" w:ascii="David" w:hAnsi="David"/>
          <w:color w:val="000000"/>
        </w:rPr>
        <w:t>18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36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27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3491/13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טוויק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הנאשם הורשע בעבירות של רכישת נשק ונשיאה והובלה של נשק בכך שקיבל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ביחד עם נאשם נוסף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שקית ובה מטען חבלה ומשדר</w:t>
      </w:r>
      <w:r>
        <w:rPr>
          <w:rFonts w:eastAsia="Calibri" w:cs="David" w:ascii="David" w:hAnsi="David"/>
          <w:color w:val="000000"/>
          <w:rtl w:val="true"/>
        </w:rPr>
        <w:t>,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והשניים הובילו את המטען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בסמוך לכך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השניים הסתירו את המטען תחת שיח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כאשר השלט נשאר בחזקתו של הנאשם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ענישה שנע בין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60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tl w:val="true"/>
        </w:rPr>
        <w:t>ב</w:t>
      </w:r>
      <w:hyperlink r:id="rId5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6210/13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גונן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הנאשם הורשע בשתי עבירות של נשיאה והובלה של נשק בכך שקיבל ביחד עם אחר שני מטעני חבלה מאולתרים ושני מנגנוני הפעלה הכוללים משדר ושלט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והובילם אל מקום לא ידוע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במסגרת הסדר הטיעון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הוסכם כי המדינה תעתור לעונש של </w:t>
      </w:r>
      <w:r>
        <w:rPr>
          <w:rFonts w:eastAsia="Calibri" w:cs="David" w:ascii="David" w:hAnsi="David"/>
          <w:color w:val="000000"/>
        </w:rPr>
        <w:t>36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בעוד הנאשם יטען כרצונו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tl w:val="true"/>
        </w:rPr>
        <w:t>ב</w:t>
      </w:r>
      <w:hyperlink r:id="rId5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6484/12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צוברה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המערער הורשע על יסוד הודאתו בעבירות של נשיאת מטען חבלה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וכ</w:t>
      </w:r>
      <w:r>
        <w:rPr>
          <w:rFonts w:ascii="David" w:hAnsi="David" w:eastAsia="Calibri"/>
          <w:color w:val="000000"/>
          <w:rtl w:val="true"/>
        </w:rPr>
        <w:t>אשר התבקש על ידי השוטרים לעצור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לחץ על דוושת הגז והחל במנוסה בנסיעה פרועה תוך שהוא פוגע ברכוש ומסכן את התנועה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הוסכם בין הצדדים על </w:t>
      </w:r>
      <w:r>
        <w:rPr>
          <w:rFonts w:eastAsia="Calibri" w:cs="David" w:ascii="David" w:hAnsi="David"/>
          <w:color w:val="000000"/>
          <w:rtl w:val="true"/>
        </w:rPr>
        <w:t>'</w:t>
      </w:r>
      <w:r>
        <w:rPr>
          <w:rFonts w:ascii="David" w:hAnsi="David" w:eastAsia="Calibri"/>
          <w:color w:val="000000"/>
          <w:rtl w:val="true"/>
        </w:rPr>
        <w:t>הסדר טווח</w:t>
      </w:r>
      <w:r>
        <w:rPr>
          <w:rFonts w:eastAsia="Calibri" w:cs="David" w:ascii="David" w:hAnsi="David"/>
          <w:color w:val="000000"/>
          <w:rtl w:val="true"/>
        </w:rPr>
        <w:t xml:space="preserve">', </w:t>
      </w:r>
      <w:r>
        <w:rPr>
          <w:rFonts w:ascii="David" w:hAnsi="David" w:eastAsia="Calibri"/>
          <w:color w:val="000000"/>
          <w:rtl w:val="true"/>
        </w:rPr>
        <w:t xml:space="preserve">כאשר מתחם הענישה נע בין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40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34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התקבל בחלקו רק לעניין תקופת הפסילה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8700/15</w:t>
        </w:r>
      </w:hyperlink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u w:val="single"/>
          <w:rtl w:val="true"/>
        </w:rPr>
        <w:t>אטדגי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הנאשם הורשע בעבירה של נשיאת והובלת נשק בכך שנשא ברכבו מטען חבלה שהורכב מלבנת חבלה שהכילה חומר נפץ ושלט רחוק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עטופים ביריעת בד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בבדיקת מרכיבי מטען החבלה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נמצא כי המטען לא יכול היה להתפוצץ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שנע בין </w:t>
      </w:r>
      <w:r>
        <w:rPr>
          <w:rFonts w:eastAsia="Calibri" w:cs="David" w:ascii="David" w:hAnsi="David"/>
          <w:color w:val="000000"/>
        </w:rPr>
        <w:t>12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36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16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hyperlink r:id="rId5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9367-01-21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עבאסי נ</w:t>
      </w:r>
      <w:r>
        <w:rPr>
          <w:rFonts w:eastAsia="Calibri" w:cs="David" w:ascii="David" w:hAnsi="David"/>
          <w:b/>
          <w:bCs/>
          <w:color w:val="000000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הנאשם הורשע בניסיון</w:t>
      </w:r>
      <w:r>
        <w:rPr>
          <w:rFonts w:ascii="David" w:hAnsi="David" w:eastAsia="Calibri"/>
          <w:color w:val="000000"/>
          <w:rtl w:val="true"/>
        </w:rPr>
        <w:t xml:space="preserve"> להחזקת</w:t>
      </w:r>
      <w:r>
        <w:rPr>
          <w:rFonts w:ascii="David" w:hAnsi="David" w:eastAsia="Calibri"/>
          <w:color w:val="000000"/>
          <w:rtl w:val="true"/>
        </w:rPr>
        <w:t xml:space="preserve"> שני חפצים שנחזו להיות מטעני חבלה שהכילו חומר נפץ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עונש בין </w:t>
      </w:r>
      <w:r>
        <w:rPr>
          <w:rFonts w:eastAsia="Calibri" w:cs="David" w:ascii="David" w:hAnsi="David"/>
          <w:color w:val="000000"/>
        </w:rPr>
        <w:t>48-20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32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מחוזי ת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34967-10-16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ז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Calibri"/>
          <w:b/>
          <w:b/>
          <w:bCs/>
          <w:u w:val="single"/>
          <w:rtl w:val="true"/>
        </w:rPr>
        <w:t>ידקוב ואח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הנאשמים הורשעו </w:t>
      </w:r>
      <w:r>
        <w:rPr>
          <w:rFonts w:ascii="David" w:hAnsi="David" w:eastAsia="Calibri"/>
          <w:color w:val="000000"/>
          <w:rtl w:val="true"/>
        </w:rPr>
        <w:t xml:space="preserve">בעבירה של הובלת </w:t>
      </w:r>
      <w:r>
        <w:rPr>
          <w:rFonts w:ascii="David" w:hAnsi="David" w:eastAsia="Calibri"/>
          <w:color w:val="000000"/>
          <w:rtl w:val="true"/>
        </w:rPr>
        <w:t>מטען חבלה תקול ברחבי עיר במשקל של כחצי קילוגרם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הסדר הטיעון שגובש בין הצדדים </w:t>
      </w:r>
      <w:r>
        <w:rPr>
          <w:rFonts w:ascii="David" w:hAnsi="David" w:eastAsia="Calibri"/>
          <w:color w:val="000000"/>
          <w:rtl w:val="true"/>
        </w:rPr>
        <w:t>כלל הסכמה ל</w:t>
      </w:r>
      <w:r>
        <w:rPr>
          <w:rFonts w:ascii="David" w:hAnsi="David" w:eastAsia="Calibri"/>
          <w:color w:val="000000"/>
          <w:rtl w:val="true"/>
        </w:rPr>
        <w:t xml:space="preserve">מתחם שנע בין 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38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</w:t>
      </w:r>
      <w:r>
        <w:rPr>
          <w:rFonts w:ascii="David" w:hAnsi="David" w:eastAsia="Calibri"/>
          <w:b/>
          <w:b/>
          <w:bCs/>
          <w:color w:val="000000"/>
          <w:rtl w:val="true"/>
        </w:rPr>
        <w:t>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נאשם </w:t>
      </w:r>
      <w:r>
        <w:rPr>
          <w:rFonts w:eastAsia="Calibri" w:cs="David" w:ascii="David" w:hAnsi="David"/>
          <w:color w:val="000000"/>
        </w:rPr>
        <w:t>1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הושת עונש של 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; </w:t>
      </w:r>
      <w:r>
        <w:rPr>
          <w:rFonts w:ascii="David" w:hAnsi="David" w:eastAsia="Calibri"/>
          <w:color w:val="000000"/>
          <w:rtl w:val="true"/>
        </w:rPr>
        <w:t xml:space="preserve">על נאשם </w:t>
      </w:r>
      <w:r>
        <w:rPr>
          <w:rFonts w:eastAsia="Calibri" w:cs="David" w:ascii="David" w:hAnsi="David"/>
          <w:color w:val="000000"/>
        </w:rPr>
        <w:t>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עונש של </w:t>
      </w:r>
      <w:r>
        <w:rPr>
          <w:rFonts w:eastAsia="Calibri" w:cs="David" w:ascii="David" w:hAnsi="David"/>
          <w:color w:val="000000"/>
        </w:rPr>
        <w:t>33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; </w:t>
      </w:r>
      <w:r>
        <w:rPr>
          <w:rFonts w:ascii="David" w:hAnsi="David" w:eastAsia="Calibri"/>
          <w:color w:val="000000"/>
          <w:rtl w:val="true"/>
        </w:rPr>
        <w:t xml:space="preserve">ועל נאשם </w:t>
      </w:r>
      <w:r>
        <w:rPr>
          <w:rFonts w:eastAsia="Calibri" w:cs="David" w:ascii="David" w:hAnsi="David"/>
          <w:color w:val="000000"/>
        </w:rPr>
        <w:t>3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הושת עונש של </w:t>
      </w:r>
      <w:r>
        <w:rPr>
          <w:rFonts w:eastAsia="Calibri" w:cs="David" w:ascii="David" w:hAnsi="David"/>
          <w:color w:val="000000"/>
        </w:rPr>
        <w:t>38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2406/16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יונגר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מדינת ישראל </w:t>
      </w:r>
      <w:r>
        <w:rPr>
          <w:rFonts w:ascii="David" w:hAnsi="David" w:eastAsia="Calibri"/>
          <w:color w:val="000000"/>
          <w:rtl w:val="true"/>
        </w:rPr>
        <w:t>הנאשם הורשע בעבירות של החזקת  קנביס לצריכה עצמית ומטען חבלה אלחוטי מאולתר במחסן הצמוד למשרדו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מתחת ליציע של אולם ספורט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אשר שימש ילדים רבים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בנקבע מתחם ענישה שנע בין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 xml:space="preserve">- </w:t>
      </w:r>
      <w:r>
        <w:rPr>
          <w:rFonts w:eastAsia="Calibri" w:cs="David" w:ascii="David" w:hAnsi="David"/>
          <w:color w:val="000000"/>
        </w:rPr>
        <w:t>60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על הנאשם הוטלו  </w:t>
      </w:r>
      <w:r>
        <w:rPr>
          <w:rFonts w:eastAsia="Calibri" w:cs="David" w:ascii="David" w:hAnsi="David"/>
          <w:color w:val="000000"/>
        </w:rPr>
        <w:t>48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לצד עונשים נלווים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ובקשת רשות ערעור נדחו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</w:t>
      </w:r>
      <w:hyperlink r:id="rId6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21139-04-17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שמואל יעקב</w:t>
      </w:r>
      <w:r>
        <w:rPr>
          <w:rFonts w:eastAsia="Calibri" w:cs="David" w:ascii="David" w:hAnsi="David"/>
          <w:color w:val="000000"/>
          <w:u w:val="single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הנאשם הורשע בעבירה של החזקת מטען חבלה בכך שהחזיק בסמוך לביתו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מטען צינור מאולתר אשר בכוחו להמית אדם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ובמועד מסוים הוא מסר את המטען לסוכן משטרתי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בנוסף לכך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הנאשם צירף שלושה תיקים של בית משפט השלום התלויים ועומדים נגדו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בנסיבותיו של מקרה זה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נקבע מתחם העונש ההולם למעשי הנאשם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בכל הקשור לעבירת הנשק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נע בין </w:t>
      </w:r>
      <w:r>
        <w:rPr>
          <w:rFonts w:eastAsia="Calibri" w:cs="David" w:ascii="David" w:hAnsi="David"/>
          <w:color w:val="000000"/>
        </w:rPr>
        <w:t>18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36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על הנאשם הוטל עונש כולל של </w:t>
      </w:r>
      <w:r>
        <w:rPr>
          <w:rFonts w:eastAsia="Calibri" w:cs="David" w:ascii="David" w:hAnsi="David"/>
          <w:color w:val="000000"/>
        </w:rPr>
        <w:t>32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ב</w:t>
      </w:r>
      <w:hyperlink r:id="rId6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10735-08-09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(</w:t>
      </w:r>
      <w:r>
        <w:rPr>
          <w:rFonts w:ascii="David" w:hAnsi="David" w:eastAsia="Calibri"/>
          <w:b/>
          <w:b/>
          <w:bCs/>
          <w:color w:val="000000"/>
          <w:rtl w:val="true"/>
        </w:rPr>
        <w:t>מחוזי חיפה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u w:val="single"/>
          <w:rtl w:val="true"/>
        </w:rPr>
        <w:t>דבאח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הנאשם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הורשע בעבירה של החזקת נשק מסוג מטען חבלה בסמוך לביתו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לנאשם עבר פלילי מכביד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והוא נידון 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30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ב</w:t>
      </w:r>
      <w:hyperlink r:id="rId6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3541/18</w:t>
        </w:r>
      </w:hyperlink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u w:val="single"/>
          <w:rtl w:val="true"/>
        </w:rPr>
        <w:t>נורי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נדון ערעורו של מי שהורשע בכך שנשא שני מטעני חבלה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 xml:space="preserve">נקבע מתחם עונש הולם אש נע בין </w:t>
      </w:r>
      <w:r>
        <w:rPr>
          <w:rFonts w:eastAsia="Calibri" w:cs="David" w:ascii="David" w:hAnsi="David"/>
          <w:color w:val="000000"/>
        </w:rPr>
        <w:t>12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ועד </w:t>
      </w:r>
      <w:r>
        <w:rPr>
          <w:rFonts w:eastAsia="Calibri" w:cs="David" w:ascii="David" w:hAnsi="David"/>
          <w:color w:val="000000"/>
        </w:rPr>
        <w:t>48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 </w:t>
      </w:r>
      <w:r>
        <w:rPr>
          <w:rFonts w:ascii="David" w:hAnsi="David" w:eastAsia="Calibri"/>
          <w:color w:val="000000"/>
          <w:rtl w:val="true"/>
        </w:rPr>
        <w:t xml:space="preserve">על הנאשם הוטלו </w:t>
      </w:r>
      <w:r>
        <w:rPr>
          <w:rFonts w:eastAsia="Calibri" w:cs="David" w:ascii="David" w:hAnsi="David"/>
          <w:color w:val="000000"/>
        </w:rPr>
        <w:t>38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ערעור על חומרת העונש נדחה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tLeast" w:line="360" w:before="0" w:after="160"/>
        <w:ind w:end="0"/>
        <w:contextualSpacing/>
        <w:jc w:val="both"/>
        <w:rPr>
          <w:rFonts w:ascii="David" w:hAnsi="David" w:eastAsia="Calibri" w:cs="David"/>
          <w:color w:val="000000"/>
          <w:sz w:val="10"/>
          <w:szCs w:val="10"/>
        </w:rPr>
      </w:pPr>
      <w:r>
        <w:rPr>
          <w:rFonts w:eastAsia="Calibri" w:cs="David" w:ascii="David" w:hAnsi="David"/>
          <w:color w:val="000000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בכל הנוגע לעבירה של שיבוש מהלכי משפט </w:t>
      </w:r>
      <w:r>
        <w:rPr>
          <w:rFonts w:ascii="David" w:hAnsi="David"/>
          <w:b/>
          <w:b/>
          <w:bCs/>
          <w:rtl w:val="true"/>
        </w:rPr>
        <w:t>ב</w:t>
      </w:r>
      <w:hyperlink r:id="rId6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8107/13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שלמה כהן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אישר בית המשפט העליון מתחם ענישה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 ביצוע שתי עבירות שיבוש מהלכי משפט ושתי עבירות הדחה בחקירה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7455-03-13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קי יעקב 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הורשע הנאשם  בין היתר בשתי עבירות שיבוש מהלכי משפט ונקבע כי מתחם הענישה לשתי עבירות השיבוש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מותנים לבין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tLeast" w:line="33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לעבירה של החזקת סם שלא לצריכה עצמית  ב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1353/17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רון ששון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המבקש נדון על החזקת סם מסוכן מסוג חשיש במשקל </w:t>
      </w:r>
      <w:r>
        <w:rPr>
          <w:rFonts w:cs="David" w:ascii="David" w:hAnsi="David"/>
        </w:rPr>
        <w:t>2.4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גרם לצריכתו העצמית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עונש הולם החל ממאסר על תנאי למספר חודשי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בין היתר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ופסילה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ובקשת רשות ערעור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3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שהוטלו  היו בטווח שבין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ההגנה הפנתה למספר פסקי דין כאשר מתחמי העונש שנקבעו נעים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והעונשים שהוטלו היו בטווח שבין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 ועד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ביחס </w:t>
      </w:r>
      <w:r>
        <w:rPr>
          <w:rFonts w:ascii="David" w:hAnsi="David" w:eastAsia="David"/>
          <w:rtl w:val="true"/>
        </w:rPr>
        <w:t xml:space="preserve">לעבירה של החזקת סם מסוכן לצריכה עצמית </w:t>
      </w:r>
      <w:r>
        <w:rPr>
          <w:rFonts w:ascii="David" w:hAnsi="David" w:eastAsia="David"/>
          <w:rtl w:val="true"/>
        </w:rPr>
        <w:t xml:space="preserve"> עד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וביחס</w:t>
      </w:r>
      <w:r>
        <w:rPr>
          <w:rFonts w:ascii="David" w:hAnsi="David" w:eastAsia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לעבירה של שיבוש מהלכי משפט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ביצועּן כמפורט 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ביחס לאירוע הראשון צריך לכלול רכיב של מאסר בפועל שלא יפחת מ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וביחס לאירוע השני מתחם העונש </w:t>
      </w:r>
      <w:r>
        <w:rPr>
          <w:rFonts w:ascii="David" w:hAnsi="David" w:eastAsia="David"/>
          <w:rtl w:val="true"/>
        </w:rPr>
        <w:t>ההולם מתחיל ב</w:t>
      </w:r>
      <w:r>
        <w:rPr>
          <w:rFonts w:ascii="David" w:hAnsi="David" w:eastAsia="David"/>
          <w:rtl w:val="true"/>
        </w:rPr>
        <w:t xml:space="preserve">מאסר מותנה ועד למאסר </w:t>
      </w:r>
      <w:r>
        <w:rPr>
          <w:rFonts w:ascii="David" w:hAnsi="David" w:eastAsia="David"/>
          <w:rtl w:val="true"/>
        </w:rPr>
        <w:t>של מספר חודשים אותו ניתן לרצות</w:t>
      </w:r>
      <w:r>
        <w:rPr>
          <w:rFonts w:ascii="David" w:hAnsi="David" w:eastAsia="David"/>
          <w:rtl w:val="true"/>
        </w:rPr>
        <w:t xml:space="preserve"> בעבודות שירות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לקולה אני מביא בחשבון את הודאתו של הנאשם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החיסכון בזמן שיפוטי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נסיבותיו האישיות כעולה מטיעוני ההגנה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ובפרט מצבו הרפואי כעולה מהמס</w:t>
      </w:r>
      <w:r>
        <w:rPr>
          <w:rFonts w:ascii="David" w:hAnsi="David" w:eastAsia="Calibri"/>
          <w:rtl w:val="true"/>
        </w:rPr>
        <w:t>מ</w:t>
      </w:r>
      <w:r>
        <w:rPr>
          <w:rFonts w:ascii="David" w:hAnsi="David" w:eastAsia="Calibri"/>
          <w:rtl w:val="true"/>
        </w:rPr>
        <w:t xml:space="preserve">כים הרפואיים שהוגשו בעניינו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תקופת המעצר בה הנאשם היה נתון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כידוע תנאי מעצר קשים מתנאי מאסר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השלכות המאסר על הנאשם בפרט לאור מצבו הרפואי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לחומרה אני מביא בחשבון את עברו הפלילי של הנאשם הכולל הרשעה אחת בגין עבירות בתחום הסמים </w:t>
      </w:r>
      <w:r>
        <w:rPr>
          <w:rFonts w:ascii="David" w:hAnsi="David" w:eastAsia="Calibri"/>
          <w:rtl w:val="true"/>
        </w:rPr>
        <w:t xml:space="preserve">בגינן </w:t>
      </w:r>
      <w:r>
        <w:rPr>
          <w:rFonts w:ascii="David" w:hAnsi="David" w:eastAsia="Calibri"/>
          <w:rtl w:val="true"/>
        </w:rPr>
        <w:t xml:space="preserve">הוטלו עליו בין היתר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tLeast" w:line="360" w:before="0" w:after="28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בכל הנוגע לקביעת העונש בתוך מתחם העונש ההולם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נוכח כלל הנסיבות אני סבור שנכון להטיל על הנאשם בהתייחס לאירוע הראשון עונש מאסר לתקופה המצויה בין הרף התחתון למרכז המתחם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וביחס לאירוע השני </w:t>
      </w:r>
      <w:r>
        <w:rPr>
          <w:rFonts w:ascii="David" w:hAnsi="David"/>
          <w:color w:val="000000"/>
          <w:rtl w:val="true"/>
        </w:rPr>
        <w:t xml:space="preserve"> ענישה המצויה במרכז המתחם זאת נוכח הרשעתו הקודמת בעבירות סמים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tLeast" w:line="360" w:before="280" w:after="160"/>
        <w:ind w:end="0"/>
        <w:contextualSpacing/>
        <w:jc w:val="both"/>
        <w:rPr>
          <w:rFonts w:ascii="David" w:hAnsi="David" w:cs="David"/>
          <w:color w:val="000000"/>
          <w:sz w:val="16"/>
          <w:szCs w:val="16"/>
        </w:rPr>
      </w:pPr>
      <w:r>
        <w:rPr>
          <w:rFonts w:cs="David" w:ascii="David" w:hAnsi="David"/>
          <w:color w:val="000000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 w:before="280" w:after="28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הנאשם יוטל עונש כולל בגין כלל האירועים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יצוין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גם המאשימה לא טענה אחרת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tLeast" w:line="360" w:before="280" w:after="160"/>
        <w:ind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80" w:after="28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בכל הנוגע לגובה הקנס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שיש להטיל קנס</w:t>
      </w:r>
      <w:r>
        <w:rPr>
          <w:rFonts w:ascii="David" w:hAnsi="David" w:eastAsia="Calibri"/>
          <w:rtl w:val="true"/>
        </w:rPr>
        <w:t xml:space="preserve"> משמעותי</w:t>
      </w:r>
      <w:r>
        <w:rPr>
          <w:rFonts w:ascii="David" w:hAnsi="David" w:eastAsia="Calibri"/>
          <w:rtl w:val="true"/>
        </w:rPr>
        <w:t xml:space="preserve"> אשר ישקף את חומרת העבירות וסוג הנשק שהוחזק על ידי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ובכל הנוגע לרכיב פסילת רישיון הנהיגה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לאור מהות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החזקת סם לשימוש עצמי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תוטל פסילה קצרה יחסית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80" w:after="28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 בדעתי להטיל על הנאשם מאסר מותנה גם ביחס לעבירת אלימות מסוג פשע זאת בהתחשב בפוטנציאל הנזק הגלום בהחזקת מטען חבלה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spacing w:lineRule="auto" w:line="360" w:before="28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Calibri" w:cs="David" w:ascii="David" w:hAnsi="David"/>
          <w:b/>
          <w:bCs/>
        </w:rPr>
        <w:t>28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מתאריך </w:t>
      </w:r>
      <w:r>
        <w:rPr>
          <w:rFonts w:eastAsia="Calibri" w:cs="David" w:ascii="David" w:hAnsi="David"/>
          <w:b/>
          <w:bCs/>
        </w:rPr>
        <w:t>07/02/23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ועד לתאריך </w:t>
      </w:r>
      <w:r>
        <w:rPr>
          <w:rFonts w:eastAsia="Calibri" w:cs="David" w:ascii="David" w:hAnsi="David"/>
          <w:b/>
          <w:bCs/>
        </w:rPr>
        <w:t>15/02/23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ומתאריך </w:t>
      </w:r>
      <w:r>
        <w:rPr>
          <w:rFonts w:eastAsia="Calibri" w:cs="David" w:ascii="David" w:hAnsi="David"/>
          <w:b/>
          <w:bCs/>
        </w:rPr>
        <w:t>23/3/23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>אני גוזר על ה</w:t>
      </w:r>
      <w:r>
        <w:rPr>
          <w:rFonts w:ascii="David" w:hAnsi="David" w:eastAsia="Calibri"/>
          <w:b/>
          <w:b/>
          <w:bCs/>
          <w:rtl w:val="true"/>
        </w:rPr>
        <w:t>נאשם עונש מאסר על תנאי לתקופ</w:t>
      </w:r>
      <w:r>
        <w:rPr>
          <w:rFonts w:ascii="David" w:hAnsi="David" w:eastAsia="Calibri"/>
          <w:b/>
          <w:b/>
          <w:bCs/>
          <w:rtl w:val="true"/>
        </w:rPr>
        <w:t xml:space="preserve">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 והתנאי הוא</w:t>
      </w:r>
      <w:r>
        <w:rPr>
          <w:rFonts w:ascii="David" w:hAnsi="David" w:eastAsia="Calibri"/>
          <w:b/>
          <w:b/>
          <w:bCs/>
          <w:rtl w:val="true"/>
        </w:rPr>
        <w:t xml:space="preserve">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עוון</w:t>
      </w:r>
      <w:r>
        <w:rPr>
          <w:rFonts w:ascii="David" w:hAnsi="David" w:eastAsia="Calibri"/>
          <w:b/>
          <w:b/>
          <w:bCs/>
          <w:rtl w:val="true"/>
        </w:rPr>
        <w:t xml:space="preserve"> או עבירת אלימות מסוג פשע או עבירה לפי </w:t>
      </w:r>
      <w:hyperlink r:id="rId6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פקודת הסמים  המסוכנים</w:t>
        </w:r>
      </w:hyperlink>
      <w:r>
        <w:rPr>
          <w:rFonts w:ascii="David" w:hAnsi="David" w:eastAsia="Calibri"/>
          <w:b/>
          <w:b/>
          <w:bCs/>
          <w:rtl w:val="true"/>
        </w:rPr>
        <w:t xml:space="preserve">  או עבירה של שיבוש מהלכי משפט </w:t>
      </w:r>
      <w:r>
        <w:rPr>
          <w:rFonts w:ascii="David" w:hAnsi="David" w:eastAsia="Calibri"/>
          <w:b/>
          <w:b/>
          <w:bCs/>
          <w:rtl w:val="true"/>
        </w:rPr>
        <w:t>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בית המשפט מסביר לנאשם כי עליו להפקיד את רישיונו – גם אם פקע תוקפו – במזכירות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ואם אין בידיו רישיון נהיגה עליו להפקיד תצהיר ערוך כדין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קנס בסך </w:t>
      </w:r>
      <w:r>
        <w:rPr>
          <w:rFonts w:eastAsia="Calibri" w:cs="David" w:ascii="David" w:hAnsi="David"/>
          <w:b/>
          <w:bCs/>
        </w:rPr>
        <w:t>10,000</w:t>
      </w:r>
      <w:r>
        <w:rPr>
          <w:rFonts w:eastAsia="Calibri" w:cs="David" w:ascii="David" w:hAnsi="David"/>
          <w:b/>
          <w:bCs/>
          <w:rtl w:val="true"/>
        </w:rPr>
        <w:t xml:space="preserve"> ₪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60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>הקנס שהוטל על הנאשם</w:t>
      </w:r>
      <w:r>
        <w:rPr>
          <w:rFonts w:ascii="David" w:hAnsi="David" w:eastAsia="Calibri"/>
          <w:b/>
          <w:b/>
          <w:bCs/>
          <w:rtl w:val="true"/>
        </w:rPr>
        <w:t xml:space="preserve">  ישולם עד ליום </w:t>
      </w:r>
      <w:r>
        <w:rPr>
          <w:rFonts w:eastAsia="Calibri" w:cs="David" w:ascii="David" w:hAnsi="David"/>
          <w:b/>
          <w:bCs/>
        </w:rPr>
        <w:t>01/07/24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תשומת לב הנאשם שיש לשלם את הקנס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69">
        <w:r>
          <w:rPr>
            <w:rStyle w:val="Hyperlink"/>
            <w:rFonts w:eastAsia="Calibri" w:cs="David" w:ascii="David" w:hAnsi="David"/>
            <w:color w:val="0563C1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Calibri" w:cs="David"/>
          <w:b/>
          <w:bCs/>
          <w:color w:val="FFFFFF"/>
          <w:sz w:val="2"/>
          <w:szCs w:val="2"/>
        </w:rPr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252" w:before="0" w:after="160"/>
        <w:ind w:end="0"/>
        <w:jc w:val="both"/>
        <w:rPr/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12158-04-23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אליאב אסולין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c.3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fCa(1)S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.a.;40.if" TargetMode="External"/><Relationship Id="rId25" Type="http://schemas.openxmlformats.org/officeDocument/2006/relationships/hyperlink" Target="http://www.nevo.co.il/law/70301/40a" TargetMode="External"/><Relationship Id="rId26" Type="http://schemas.openxmlformats.org/officeDocument/2006/relationships/hyperlink" Target="http://www.nevo.co.il/case/27894608" TargetMode="External"/><Relationship Id="rId27" Type="http://schemas.openxmlformats.org/officeDocument/2006/relationships/hyperlink" Target="http://www.nevo.co.il/case/28152132" TargetMode="External"/><Relationship Id="rId28" Type="http://schemas.openxmlformats.org/officeDocument/2006/relationships/hyperlink" Target="http://www.nevo.co.il/case/27115374" TargetMode="External"/><Relationship Id="rId29" Type="http://schemas.openxmlformats.org/officeDocument/2006/relationships/hyperlink" Target="http://www.nevo.co.il/case/27907602" TargetMode="External"/><Relationship Id="rId30" Type="http://schemas.openxmlformats.org/officeDocument/2006/relationships/hyperlink" Target="http://www.nevo.co.il/case/2720740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601503" TargetMode="External"/><Relationship Id="rId33" Type="http://schemas.openxmlformats.org/officeDocument/2006/relationships/hyperlink" Target="http://www.nevo.co.il/case/6034921" TargetMode="External"/><Relationship Id="rId34" Type="http://schemas.openxmlformats.org/officeDocument/2006/relationships/hyperlink" Target="http://www.nevo.co.il/case/26913995" TargetMode="External"/><Relationship Id="rId35" Type="http://schemas.openxmlformats.org/officeDocument/2006/relationships/hyperlink" Target="http://www.nevo.co.il/case/25824863" TargetMode="External"/><Relationship Id="rId36" Type="http://schemas.openxmlformats.org/officeDocument/2006/relationships/hyperlink" Target="http://www.nevo.co.il/case/25063920" TargetMode="External"/><Relationship Id="rId37" Type="http://schemas.openxmlformats.org/officeDocument/2006/relationships/hyperlink" Target="http://www.nevo.co.il/case/10485614" TargetMode="External"/><Relationship Id="rId38" Type="http://schemas.openxmlformats.org/officeDocument/2006/relationships/hyperlink" Target="http://www.nevo.co.il/case/27171364" TargetMode="External"/><Relationship Id="rId39" Type="http://schemas.openxmlformats.org/officeDocument/2006/relationships/hyperlink" Target="http://www.nevo.co.il/case/10485615" TargetMode="External"/><Relationship Id="rId40" Type="http://schemas.openxmlformats.org/officeDocument/2006/relationships/hyperlink" Target="http://www.nevo.co.il/case/5786821" TargetMode="External"/><Relationship Id="rId41" Type="http://schemas.openxmlformats.org/officeDocument/2006/relationships/hyperlink" Target="http://www.nevo.co.il/case/5988308" TargetMode="External"/><Relationship Id="rId42" Type="http://schemas.openxmlformats.org/officeDocument/2006/relationships/hyperlink" Target="http://www.nevo.co.il/case/5786821" TargetMode="External"/><Relationship Id="rId43" Type="http://schemas.openxmlformats.org/officeDocument/2006/relationships/hyperlink" Target="http://www.nevo.co.il/case/5953822" TargetMode="External"/><Relationship Id="rId44" Type="http://schemas.openxmlformats.org/officeDocument/2006/relationships/hyperlink" Target="http://www.nevo.co.il/case/5698919" TargetMode="External"/><Relationship Id="rId45" Type="http://schemas.openxmlformats.org/officeDocument/2006/relationships/hyperlink" Target="http://www.nevo.co.il/case/6096785" TargetMode="External"/><Relationship Id="rId46" Type="http://schemas.openxmlformats.org/officeDocument/2006/relationships/hyperlink" Target="http://www.nevo.co.il/law/70301/40j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13093721" TargetMode="External"/><Relationship Id="rId49" Type="http://schemas.openxmlformats.org/officeDocument/2006/relationships/hyperlink" Target="http://www.nevo.co.il/law/70301/40jc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7171364" TargetMode="External"/><Relationship Id="rId52" Type="http://schemas.openxmlformats.org/officeDocument/2006/relationships/hyperlink" Target="http://www.nevo.co.il/case/23793846" TargetMode="External"/><Relationship Id="rId53" Type="http://schemas.openxmlformats.org/officeDocument/2006/relationships/hyperlink" Target="http://www.nevo.co.il/case/7821883" TargetMode="External"/><Relationship Id="rId54" Type="http://schemas.openxmlformats.org/officeDocument/2006/relationships/hyperlink" Target="http://www.nevo.co.il/case/26019004" TargetMode="External"/><Relationship Id="rId55" Type="http://schemas.openxmlformats.org/officeDocument/2006/relationships/hyperlink" Target="http://www.nevo.co.il/case/10485615" TargetMode="External"/><Relationship Id="rId56" Type="http://schemas.openxmlformats.org/officeDocument/2006/relationships/hyperlink" Target="http://www.nevo.co.il/case/10485614" TargetMode="External"/><Relationship Id="rId57" Type="http://schemas.openxmlformats.org/officeDocument/2006/relationships/hyperlink" Target="http://www.nevo.co.il/case/5581458" TargetMode="External"/><Relationship Id="rId58" Type="http://schemas.openxmlformats.org/officeDocument/2006/relationships/hyperlink" Target="http://www.nevo.co.il/case/20798652" TargetMode="External"/><Relationship Id="rId59" Type="http://schemas.openxmlformats.org/officeDocument/2006/relationships/hyperlink" Target="http://www.nevo.co.il/case/27303553" TargetMode="External"/><Relationship Id="rId60" Type="http://schemas.openxmlformats.org/officeDocument/2006/relationships/hyperlink" Target="http://www.nevo.co.il/case/21871965" TargetMode="External"/><Relationship Id="rId61" Type="http://schemas.openxmlformats.org/officeDocument/2006/relationships/hyperlink" Target="http://www.nevo.co.il/case/21055840" TargetMode="External"/><Relationship Id="rId62" Type="http://schemas.openxmlformats.org/officeDocument/2006/relationships/hyperlink" Target="http://www.nevo.co.il/case/22531980" TargetMode="External"/><Relationship Id="rId63" Type="http://schemas.openxmlformats.org/officeDocument/2006/relationships/hyperlink" Target="http://www.nevo.co.il/case/5798073" TargetMode="External"/><Relationship Id="rId64" Type="http://schemas.openxmlformats.org/officeDocument/2006/relationships/hyperlink" Target="http://www.nevo.co.il/case/24152593" TargetMode="External"/><Relationship Id="rId65" Type="http://schemas.openxmlformats.org/officeDocument/2006/relationships/hyperlink" Target="http://www.nevo.co.il/case/10493280" TargetMode="External"/><Relationship Id="rId66" Type="http://schemas.openxmlformats.org/officeDocument/2006/relationships/hyperlink" Target="http://www.nevo.co.il/case/6720773" TargetMode="External"/><Relationship Id="rId67" Type="http://schemas.openxmlformats.org/officeDocument/2006/relationships/hyperlink" Target="http://www.nevo.co.il/case/22235580" TargetMode="External"/><Relationship Id="rId68" Type="http://schemas.openxmlformats.org/officeDocument/2006/relationships/hyperlink" Target="http://www.nevo.co.il/law/4216" TargetMode="External"/><Relationship Id="rId69" Type="http://schemas.openxmlformats.org/officeDocument/2006/relationships/hyperlink" Target="http://www.eca.gov.il/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2024-02-04T09:05:00Z</dcterms:created>
  <dc:creator> </dc:creator>
  <dc:description/>
  <cp:keywords/>
  <dc:language>en-IL</dc:language>
  <cp:lastModifiedBy>h1</cp:lastModifiedBy>
  <dcterms:modified xsi:type="dcterms:W3CDTF">2024-02-04T09:05:00Z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אליאב אסולין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27894608;28152132;27115374;27907602;27207408;5601503;6034921;26913995;25824863;25063920;10485614:2;27171364:2;10485615:2;5786821:2;5988308;5953822;5698919;6096785;13093721;23793846;7821883;26019004;5581458;20798652;27303553;21871965;21055840;22531980</vt:lpwstr>
  </property>
  <property fmtid="{D5CDD505-2E9C-101B-9397-08002B2CF9AE}" pid="10" name="CASESLISTTMP2">
    <vt:lpwstr>5798073;24152593;10493280;6720773;22235580</vt:lpwstr>
  </property>
  <property fmtid="{D5CDD505-2E9C-101B-9397-08002B2CF9AE}" pid="11" name="CITY">
    <vt:lpwstr>חי'</vt:lpwstr>
  </property>
  <property fmtid="{D5CDD505-2E9C-101B-9397-08002B2CF9AE}" pid="12" name="DATE">
    <vt:lpwstr>20240130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גיל קרזבום</vt:lpwstr>
  </property>
  <property fmtid="{D5CDD505-2E9C-101B-9397-08002B2CF9AE}" pid="16" name="LAWLISTTMP1">
    <vt:lpwstr>70301/144.a;144.c.3;244;fCa(1)S;040.a;040.if;040a;40jc:2</vt:lpwstr>
  </property>
  <property fmtid="{D5CDD505-2E9C-101B-9397-08002B2CF9AE}" pid="17" name="LAWLISTTMP2">
    <vt:lpwstr>4216/007.a;007.c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12158</vt:lpwstr>
  </property>
  <property fmtid="{D5CDD505-2E9C-101B-9397-08002B2CF9AE}" pid="25" name="NEWPARTB">
    <vt:lpwstr>04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390020240130</vt:lpwstr>
  </property>
  <property fmtid="{D5CDD505-2E9C-101B-9397-08002B2CF9AE}" pid="37" name="TYPE_N_DATE">
    <vt:lpwstr>39020240130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