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12213-10-16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בארין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לוי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unPenh" w:hAnsi="DaunPenh" w:cs="DaunPenh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unPenh" w:ascii="DaunPenh" w:hAnsi="DaunPenh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unPenh" w:hAnsi="DaunPenh" w:cs="DaunPenh"/>
                <w:b/>
                <w:bCs/>
                <w:sz w:val="26"/>
                <w:szCs w:val="26"/>
              </w:rPr>
            </w:pPr>
            <w:r>
              <w:rPr>
                <w:rFonts w:ascii="DaunPenh" w:hAnsi="DaunPenh" w:cs="DaunPenh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unPenh" w:hAnsi="DaunPenh" w:cs="DaunPenh"/>
                <w:b/>
                <w:bCs/>
                <w:sz w:val="26"/>
                <w:szCs w:val="26"/>
              </w:rPr>
            </w:pPr>
            <w:r>
              <w:rPr>
                <w:rFonts w:cs="DaunPenh" w:ascii="DaunPenh" w:hAnsi="DaunPenh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unPenh" w:hAnsi="DaunPenh" w:cs="DaunPenh"/>
                <w:b/>
                <w:bCs/>
                <w:sz w:val="26"/>
                <w:szCs w:val="26"/>
              </w:rPr>
            </w:pPr>
            <w:r>
              <w:rPr>
                <w:rFonts w:cs="DaunPenh" w:ascii="DaunPenh" w:hAnsi="DaunPenh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unPenh" w:hAnsi="DaunPenh" w:cs="DaunPenh"/>
                <w:b/>
                <w:bCs/>
                <w:sz w:val="26"/>
                <w:szCs w:val="26"/>
              </w:rPr>
            </w:pPr>
            <w:r>
              <w:rPr>
                <w:rFonts w:cs="DaunPenh" w:ascii="DaunPenh" w:hAnsi="DaunPenh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DaunPenh" w:hAnsi="DaunPenh" w:cs="DaunPenh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DaunPenh" w:hAnsi="DaunPenh" w:cs="DaunPenh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unPenh" w:hAnsi="DaunPenh" w:cs="DaunPenh"/>
                <w:b/>
                <w:bCs/>
                <w:sz w:val="26"/>
                <w:szCs w:val="26"/>
              </w:rPr>
            </w:pPr>
            <w:r>
              <w:rPr>
                <w:rFonts w:cs="DaunPenh" w:ascii="DaunPenh" w:hAnsi="DaunPenh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unPenh" w:hAnsi="DaunPenh" w:cs="DaunPenh"/>
                <w:b/>
                <w:bCs/>
                <w:sz w:val="26"/>
                <w:szCs w:val="26"/>
              </w:rPr>
            </w:pPr>
            <w:r>
              <w:rPr>
                <w:rFonts w:cs="DaunPenh" w:ascii="DaunPenh" w:hAnsi="DaunPenh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unPenh" w:hAnsi="DaunPenh" w:cs="DaunPenh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unPenh" w:hAnsi="DaunPenh" w:cs="DaunPenh"/>
                <w:b/>
                <w:bCs/>
                <w:sz w:val="26"/>
                <w:szCs w:val="26"/>
              </w:rPr>
            </w:pPr>
            <w:r>
              <w:rPr>
                <w:rFonts w:cs="DaunPenh" w:ascii="DaunPenh" w:hAnsi="DaunPenh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unPenh" w:hAnsi="DaunPenh" w:cs="DaunPenh"/>
                <w:b/>
                <w:bCs/>
                <w:sz w:val="26"/>
                <w:szCs w:val="26"/>
              </w:rPr>
            </w:pPr>
            <w:r>
              <w:rPr>
                <w:rFonts w:cs="DaunPenh" w:ascii="DaunPenh" w:hAnsi="DaunPenh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unPenh" w:hAnsi="DaunPenh" w:cs="DaunPenh"/>
                <w:b/>
                <w:bCs/>
                <w:sz w:val="26"/>
                <w:szCs w:val="26"/>
              </w:rPr>
            </w:pPr>
            <w:r>
              <w:rPr>
                <w:rFonts w:ascii="DaunPenh" w:hAnsi="DaunPenh" w:cs="DaunPenh"/>
                <w:b/>
                <w:b/>
                <w:bCs/>
                <w:sz w:val="26"/>
                <w:sz w:val="26"/>
                <w:szCs w:val="26"/>
                <w:rtl w:val="true"/>
              </w:rPr>
              <w:t>מוחמד ג</w:t>
            </w:r>
            <w:r>
              <w:rPr>
                <w:rFonts w:cs="DaunPenh" w:ascii="DaunPenh" w:hAnsi="DaunPenh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unPenh" w:hAnsi="DaunPenh" w:cs="DaunPenh"/>
                <w:b/>
                <w:b/>
                <w:bCs/>
                <w:sz w:val="26"/>
                <w:sz w:val="26"/>
                <w:szCs w:val="26"/>
                <w:rtl w:val="true"/>
              </w:rPr>
              <w:t>בארין ת</w:t>
            </w:r>
            <w:r>
              <w:rPr>
                <w:rFonts w:cs="DaunPenh" w:ascii="DaunPenh" w:hAnsi="DaunPenh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unPenh" w:hAnsi="DaunPenh" w:cs="DaunPenh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DaunPenh" w:ascii="DaunPenh" w:hAnsi="DaunPenh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cs="DaunPenh" w:ascii="DaunPenh" w:hAnsi="DaunPenh"/>
                <w:b/>
                <w:bCs/>
                <w:sz w:val="26"/>
                <w:szCs w:val="26"/>
              </w:rPr>
              <w:t>xxxxxxxxxx</w:t>
            </w:r>
            <w:r>
              <w:rPr>
                <w:rFonts w:cs="DaunPenh" w:ascii="DaunPenh" w:hAnsi="DaunPenh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unPenh" w:hAnsi="DaunPenh" w:cs="DaunPenh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unPenh" w:ascii="DaunPenh" w:hAnsi="DaunPenh"/>
                <w:b/>
                <w:bCs/>
                <w:sz w:val="26"/>
                <w:szCs w:val="26"/>
                <w:rtl w:val="true"/>
              </w:rPr>
              <w:t xml:space="preserve">)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unPenh" w:hAnsi="DaunPenh" w:cs="DaunPenh"/>
                <w:b/>
                <w:bCs/>
                <w:sz w:val="26"/>
                <w:szCs w:val="26"/>
              </w:rPr>
            </w:pPr>
            <w:r>
              <w:rPr>
                <w:rFonts w:cs="DaunPenh" w:ascii="DaunPenh" w:hAnsi="DaunPenh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unPenh" w:hAnsi="DaunPenh" w:cs="DaunPenh"/>
                <w:b/>
                <w:bCs/>
                <w:sz w:val="26"/>
                <w:szCs w:val="26"/>
              </w:rPr>
            </w:pPr>
            <w:r>
              <w:rPr>
                <w:rFonts w:cs="DaunPenh" w:ascii="DaunPenh" w:hAnsi="DaunPenh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unPenh" w:hAnsi="DaunPenh" w:cs="DaunPenh"/>
                <w:b/>
                <w:bCs/>
                <w:sz w:val="26"/>
                <w:szCs w:val="26"/>
              </w:rPr>
            </w:pPr>
            <w:r>
              <w:rPr>
                <w:rFonts w:cs="DaunPenh" w:ascii="DaunPenh" w:hAnsi="DaunPenh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DaunPenh" w:hAnsi="DaunPenh" w:cs="DaunPenh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DaunPenh" w:hAnsi="DaunPenh" w:cs="DaunPenh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unPenh" w:hAnsi="DaunPenh" w:cs="DaunPenh"/>
                <w:b/>
                <w:bCs/>
                <w:sz w:val="32"/>
                <w:szCs w:val="32"/>
              </w:rPr>
            </w:pPr>
            <w:r>
              <w:rPr>
                <w:rFonts w:cs="DaunPenh" w:ascii="DaunPenh" w:hAnsi="DaunPenh"/>
                <w:b/>
                <w:bCs/>
                <w:sz w:val="32"/>
                <w:szCs w:val="32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287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380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יא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4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 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שבפרק ו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ind w:end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DaunPenh" w:hAnsi="DaunPenh" w:cs="DaunPenh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unPenh" w:ascii="DaunPenh" w:hAnsi="DaunPenh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 w:before="0" w:after="160"/>
        <w:ind w:end="0"/>
        <w:jc w:val="both"/>
        <w:rPr/>
      </w:pPr>
      <w:bookmarkStart w:id="8" w:name="ABSTRACT_START"/>
      <w:bookmarkEnd w:id="8"/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בארין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6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"). </w:t>
      </w:r>
    </w:p>
    <w:p>
      <w:pPr>
        <w:pStyle w:val="Normal"/>
        <w:spacing w:lineRule="auto" w:line="360" w:before="0" w:after="160"/>
        <w:ind w:end="0"/>
        <w:jc w:val="both"/>
        <w:rPr/>
      </w:pPr>
      <w:bookmarkStart w:id="9" w:name="ABSTRACT_END"/>
      <w:bookmarkEnd w:id="9"/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סובארו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הרכב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ספטמבר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'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שבתוכו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באום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הבית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עטף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בחולצה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הריקה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והחביאם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הנהג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אוקטובר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צהריים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הזיז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הרחוב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וכשבמכנסיו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המחסנית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25.1.17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לעיוני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ובשיפוצים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ספסל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הלימודים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ולדאוג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תעסוקתית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במקומות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תעסוקה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בפרט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במפורש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המיוחס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ואישר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העובדות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שנכללו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בכתב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ככתבן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וכלשונן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באוזני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אדפטיביים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מתואמות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לסיטואציות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מורכבות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ומשבר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דיווחיו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מגמתיים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בוויסות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ותוצאותיהם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בקהילה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בכזו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Arial" w:hAnsi="Arial" w:cs="Arial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וקונקרטית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תדפיס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19.9.16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שבועות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8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אפריל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 xml:space="preserve">טיעוני </w:t>
      </w:r>
      <w:r>
        <w:rPr>
          <w:rFonts w:ascii="Calibri" w:hAnsi="Calibri" w:cs="Calibri"/>
          <w:b/>
          <w:b/>
          <w:bCs/>
          <w:u w:val="single"/>
          <w:rtl w:val="true"/>
        </w:rPr>
        <w:t>התביעה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לעונש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הגוף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שלטון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הבאות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לגיטימי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בהתערבות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והתבצעה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אליבא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Arial" w:ascii="Arial" w:hAnsi="Arial"/>
          <w:rtl w:val="true"/>
        </w:rPr>
        <w:t>½</w:t>
      </w:r>
      <w:r>
        <w:rPr>
          <w:rFonts w:cs="Arial" w:ascii="Arial" w:hAnsi="Arial"/>
        </w:rPr>
        <w:t>2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התובע הפנה אל גזרי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דין התומכים במתחם המוצע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בתוככי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עתר התובע להטלת עונש המצוי באמצע המתחם על רקע עברו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הרשעתו בעבירת תקיפה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התובע הצביע אל עבר ממצאי התסקיר המלמדים על חשש להישנות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התובע אף עתר לחילוט כלי הנשק וכלי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שבאמצעותו נעברה העבירה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before="0" w:after="1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</w:t>
      </w:r>
      <w:r>
        <w:rPr>
          <w:rFonts w:ascii="Arial" w:hAnsi="Arial" w:cs="Arial"/>
          <w:b/>
          <w:b/>
          <w:bCs/>
          <w:u w:val="single"/>
          <w:rtl w:val="true"/>
        </w:rPr>
        <w:t>הגנה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לעונש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הסנגורית המלומדת עמדה על כך שהנאשם הוא בחור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שעברו כמעט נקי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אשר הודה באשמה בהזדמנות הראשונה לאחר שמסר גרסה מלאה במשטרה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נטל אחריות מלאה על המעשה גם לפני שירות המבחן ושיתף את השירות במצוקתו ועתר לסיוע על מנת להתמודד עם קשייו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לדעתה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העונש ההולם בעניינו נע 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ציינה הסנגורית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שלטעמה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העונש הראוי עומד על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דברו האחרון של הנאשם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בדברו האחרון ביקש סליחה ורחמים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הביע צער והבטיח לתקן דרכיו להימנע בעתיד ממעשה שכזה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>ד</w:t>
      </w:r>
      <w:r>
        <w:rPr>
          <w:rFonts w:ascii="Arial" w:hAnsi="Arial" w:cs="Arial"/>
          <w:b/>
          <w:b/>
          <w:bCs/>
          <w:u w:val="single"/>
          <w:rtl w:val="true"/>
        </w:rPr>
        <w:t>יון והכרעה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Arial" w:hAnsi="Arial" w:cs="Arial"/>
          <w:rtl w:val="true"/>
        </w:rPr>
        <w:t xml:space="preserve">הנאשם נשא נשק מאולתר מסוג קרל גוסטב ומחסנית ריקה למשך תקופת זמן קצרה בחודש ספטמבר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הוא הסיע את הנשק ברכבו ממי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עמי לאום אל פחם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הנשק נתפס בידי אנשי משטרה ברכב ביום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להניח בהתאם למידע מודיעיני אשר הגיע אליהם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לעקרונות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שנקבעו</w:t>
      </w:r>
      <w:r>
        <w:rPr>
          <w:rFonts w:ascii="Calibri" w:hAnsi="Calibri" w:cs="Calibri"/>
          <w:rtl w:val="true"/>
        </w:rPr>
        <w:t xml:space="preserve">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בסימן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שבפרק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1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3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שהיוותה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אירוע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24"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5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הערכים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החברתיים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אסקור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הערכים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החברתיים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שנפגעו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7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)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התגלגלותו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מוסמכות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בטחונו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בסכנה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- </w:t>
      </w:r>
      <w:hyperlink r:id="rId28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עבד אלכרים סלימאן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19.01.14</w:t>
      </w:r>
      <w:r>
        <w:rPr>
          <w:rFonts w:cs="Arial" w:ascii="Arial" w:hAnsi="Arial"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כדלהלן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276" w:before="0" w:after="160"/>
        <w:ind w:start="1513" w:end="1418"/>
        <w:jc w:val="both"/>
        <w:rPr/>
      </w:pP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המבוצעות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לרבות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רכישה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החזקה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ונשיאת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טומנות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בחובן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הרסני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לפגיעה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בשלום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הציבור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וביטחונו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החשש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המוחזק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ישמש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לפעילות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עבריינית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העלולה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להביא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לפגיעה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ואף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לקיפוח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חייהם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אזרחים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תמימים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אכן</w:t>
      </w:r>
      <w:r>
        <w:rPr>
          <w:rFonts w:cs="Miriam" w:ascii="Calibri" w:hAnsi="Calibri"/>
          <w:rtl w:val="true"/>
        </w:rPr>
        <w:t>, "</w:t>
      </w:r>
      <w:r>
        <w:rPr>
          <w:rFonts w:ascii="Calibri" w:hAnsi="Calibri" w:cs="Miriam"/>
          <w:rtl w:val="true"/>
        </w:rPr>
        <w:t>התגלגלותם</w:t>
      </w:r>
      <w:r>
        <w:rPr>
          <w:rFonts w:cs="Miriam" w:ascii="Calibri" w:hAnsi="Calibri"/>
          <w:rtl w:val="true"/>
        </w:rPr>
        <w:t xml:space="preserve">"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פיקוח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להוביל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להגעתם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בדרך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לגורמים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פליליים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ועוינים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לדעת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יעלה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בגורלם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ולאילו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תוצאות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הרסניות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יובילו</w:t>
      </w:r>
      <w:r>
        <w:rPr>
          <w:rFonts w:cs="Miriam" w:ascii="Calibri" w:hAnsi="Calibri"/>
          <w:rtl w:val="true"/>
        </w:rPr>
        <w:t>.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rtl w:val="true"/>
        </w:rPr>
        <w:t>ודוק</w:t>
      </w:r>
      <w:r>
        <w:rPr>
          <w:rFonts w:cs="Miriam" w:ascii="Calibri" w:hAnsi="Calibri"/>
          <w:rtl w:val="true"/>
        </w:rPr>
        <w:t xml:space="preserve">: </w:t>
      </w:r>
      <w:r>
        <w:rPr>
          <w:rFonts w:ascii="Calibri" w:hAnsi="Calibri" w:cs="Miriam"/>
          <w:rtl w:val="true"/>
        </w:rPr>
        <w:t>הסיכון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שנשקף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לשלום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הציבור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צריך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להילקח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בחשבון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ידי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בידו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למטרת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ביצוען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אחרות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עצם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החזקת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קטילה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מבלי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בעליו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פיקוח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מוסדר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הרשויות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טומן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בחובו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סיכון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נתון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תמיד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לחשש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שיתפתה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לעשות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שימוש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ברגעי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לחץ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ופחד</w:t>
      </w:r>
      <w:r>
        <w:rPr>
          <w:rFonts w:cs="Miriam" w:ascii="Calibri" w:hAnsi="Calibri"/>
          <w:rtl w:val="true"/>
        </w:rPr>
        <w:t>..".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בעוצמתה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לכוונותיו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להעברתו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לטובתו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חבלניות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הבעייתי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עמית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- </w:t>
      </w:r>
      <w:hyperlink r:id="rId2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2398/14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אלהזייל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8.7.14</w:t>
      </w:r>
      <w:r>
        <w:rPr>
          <w:rtl w:val="true"/>
        </w:rPr>
        <w:t xml:space="preserve">),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</w:p>
    <w:p>
      <w:pPr>
        <w:pStyle w:val="Normal"/>
        <w:spacing w:lineRule="auto" w:line="276"/>
        <w:ind w:start="1513" w:end="993"/>
        <w:jc w:val="both"/>
        <w:rPr/>
      </w:pPr>
      <w:r>
        <w:rPr>
          <w:rFonts w:cs="Miriam"/>
          <w:rtl w:val="true"/>
        </w:rPr>
        <w:t>"..</w:t>
      </w:r>
      <w:r>
        <w:rPr>
          <w:rFonts w:cs="Miriam"/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ואדגיש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לדוגמה</w:t>
      </w:r>
      <w:r>
        <w:rPr>
          <w:rFonts w:cs="Miriam"/>
          <w:rtl w:val="true"/>
        </w:rPr>
        <w:t xml:space="preserve">, </w:t>
      </w:r>
      <w:hyperlink r:id="rId30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4945/13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עבד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אלכרים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</w:rPr>
        <w:t>19.1.2014</w:t>
      </w:r>
      <w:r>
        <w:rPr>
          <w:rFonts w:cs="Miriam"/>
          <w:rtl w:val="true"/>
        </w:rPr>
        <w:t xml:space="preserve">)). </w:t>
      </w:r>
      <w:r>
        <w:rPr>
          <w:rFonts w:cs="Miriam"/>
          <w:rtl w:val="true"/>
        </w:rPr>
        <w:t>לזמינות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חיסול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חשבונות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ול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סכסוכים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כמו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נוספות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בארצנו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מוכיחה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הקלישאה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במערכה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מדוייקת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מזומנות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למערכה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מכאן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דא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</w:t>
      </w:r>
      <w:r>
        <w:rPr>
          <w:rFonts w:cs="Miriam"/>
          <w:rtl w:val="true"/>
        </w:rPr>
        <w:t xml:space="preserve">". 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highlight w:val="yellow"/>
          <w:u w:val="single"/>
        </w:rPr>
      </w:pPr>
      <w:r>
        <w:rPr>
          <w:rFonts w:cs="Calibri" w:ascii="Calibri" w:hAnsi="Calibri"/>
          <w:b/>
          <w:bCs/>
          <w:highlight w:val="yellow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לשרטט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כדבעי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דידן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מגוונת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הדרך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הוחזק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באלה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להזכיר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אוטומטי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מסוג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קרל גוסטב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31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3156/11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זראיעה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21.02.12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בנצרת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והובלת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3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הסתייעות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ברכב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שהסליק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וקופסאות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אקדח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בקוטר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9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34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3877/16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פאדי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באלי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17.11.16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לוד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בעל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מכביד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6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הסכסוך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>'.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 (</w:t>
      </w:r>
      <w:r>
        <w:rPr>
          <w:rFonts w:ascii="Calibri" w:hAnsi="Calibri" w:cs="Calibri"/>
          <w:rtl w:val="true"/>
        </w:rPr>
        <w:t>קטין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שהכילה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b/>
          <w:b/>
          <w:bCs/>
          <w:rtl w:val="true"/>
        </w:rPr>
        <w:t>אקדח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גלוק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בהתפרצות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השרון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כשהגיעו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במכנסיו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ארוך</w:t>
      </w:r>
      <w:r>
        <w:rPr>
          <w:rFonts w:cs="Calibri" w:ascii="Calibri" w:hAnsi="Calibri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37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2198/08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יוסף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עוואדה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</w:rPr>
        <w:t>8.6.08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בנצרת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9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נצרת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אקדח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בקוטר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9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משנכנסו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משטרה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לחלון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40">
        <w:r>
          <w:rPr>
            <w:rStyle w:val="Hyperlink"/>
            <w:rFonts w:ascii="Calibri" w:hAnsi="Calibri" w:cs="Calibri"/>
            <w:rtl w:val="true"/>
          </w:rPr>
          <w:t>תיק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פלילי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16192-05-09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מחאג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18.10.09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20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חדא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42"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3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רובה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מקלע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קרלו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למחסום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בפתאומיות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מהשוטרים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ובהגיעם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פתחו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ודוממו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44">
        <w:r>
          <w:rPr>
            <w:rStyle w:val="Hyperlink"/>
            <w:rFonts w:ascii="Calibri" w:hAnsi="Calibri" w:cs="Calibri"/>
            <w:rtl w:val="true"/>
          </w:rPr>
          <w:t>תיק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פלילי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9111-02-15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חאסרמה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20.9.15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10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האחת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 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6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והשנייה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: 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חסארמה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חסארמה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לחקירה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במנוסה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אקדח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FN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והמחסנית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cs="Calibri" w:ascii="Calibri" w:hAnsi="Calibri"/>
          <w:rtl w:val="true"/>
        </w:rPr>
        <w:t xml:space="preserve">: </w:t>
      </w:r>
      <w:hyperlink r:id="rId48"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17520-03-14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31.12.14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בירושלים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20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בגין ביצועה של עבירה שעניינה הובלת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תת מקלע מאולתר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מחסנית ושמונה 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הנאשם עשה כן  כאשר הנשק מוסלק מתחת למושב האחורי ברכב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נסיבות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הקשורות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בביצוע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העבירה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  <w:rtl w:val="true"/>
        </w:rPr>
        <w:t>(</w:t>
      </w:r>
      <w:hyperlink r:id="rId4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</w:hyperlink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</w:t>
      </w:r>
      <w:hyperlink r:id="rId50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u w:val="single"/>
          <w:rtl w:val="true"/>
        </w:rPr>
        <w:t>)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בהתקיימותן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51"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2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מתוכננת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סנגוריתו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להותירו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התגלגלותו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מוסמכות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ועשיית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מהמעשה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1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המתאים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53"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4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)</w:t>
      </w:r>
    </w:p>
    <w:p>
      <w:pPr>
        <w:pStyle w:val="Normal"/>
        <w:spacing w:lineRule="auto" w:line="360" w:before="24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240" w:after="160"/>
        <w:ind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יפגע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הטלת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תפגע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בהכרח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השתכרות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נטל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בחקירתו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התרשמותי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מאמצים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עברו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הפלילי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מכביד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240" w:after="160"/>
        <w:ind w:end="0"/>
        <w:jc w:val="both"/>
        <w:rPr/>
      </w:pP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20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מעצרו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1.10.16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hyperlink r:id="rId5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6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חילוט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חילוט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 פי בקשת ההגנה ובהעדר התנגדות מצד 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יוחזר מכשיר טלפון סלולרי אשר הוחרם מידיו של הנאשם במהלך החקירה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לידי אחיו נג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ואן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Fonts w:ascii="Calibri" w:hAnsi="Calibri" w:cs="Calibri"/>
          <w:b/>
          <w:b/>
          <w:bCs/>
          <w:rtl w:val="true"/>
        </w:rPr>
        <w:t>זכות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ערעור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כחוק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7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8"/>
      <w:footerReference w:type="default" r:id="rId5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unPenh">
    <w:charset w:val="00" w:characterSet="windows-1252"/>
    <w:family w:val="auto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12213-10-16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בארין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.a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287.a" TargetMode="External"/><Relationship Id="rId11" Type="http://schemas.openxmlformats.org/officeDocument/2006/relationships/hyperlink" Target="http://www.nevo.co.il/law/70301/380" TargetMode="External"/><Relationship Id="rId12" Type="http://schemas.openxmlformats.org/officeDocument/2006/relationships/hyperlink" Target="http://www.nevo.co.il/law/70301/40ja" TargetMode="External"/><Relationship Id="rId13" Type="http://schemas.openxmlformats.org/officeDocument/2006/relationships/hyperlink" Target="http://www.nevo.co.il/law/70301/40jc.a" TargetMode="External"/><Relationship Id="rId14" Type="http://schemas.openxmlformats.org/officeDocument/2006/relationships/hyperlink" Target="http://www.nevo.co.il/law/70301/fCa1S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80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287.a" TargetMode="External"/><Relationship Id="rId20" Type="http://schemas.openxmlformats.org/officeDocument/2006/relationships/hyperlink" Target="http://www.nevo.co.il/law/70301/fCa1S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0b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jc.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c.a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7791493" TargetMode="External"/><Relationship Id="rId29" Type="http://schemas.openxmlformats.org/officeDocument/2006/relationships/hyperlink" Target="http://www.nevo.co.il/case/13093744" TargetMode="External"/><Relationship Id="rId30" Type="http://schemas.openxmlformats.org/officeDocument/2006/relationships/hyperlink" Target="http://www.nevo.co.il/case/7791493" TargetMode="External"/><Relationship Id="rId31" Type="http://schemas.openxmlformats.org/officeDocument/2006/relationships/hyperlink" Target="http://www.nevo.co.il/case/5878682" TargetMode="External"/><Relationship Id="rId32" Type="http://schemas.openxmlformats.org/officeDocument/2006/relationships/hyperlink" Target="http://www.nevo.co.il/law/70301/144.b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21474168" TargetMode="External"/><Relationship Id="rId35" Type="http://schemas.openxmlformats.org/officeDocument/2006/relationships/hyperlink" Target="http://www.nevo.co.il/law/70301/144.b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5818242" TargetMode="External"/><Relationship Id="rId38" Type="http://schemas.openxmlformats.org/officeDocument/2006/relationships/hyperlink" Target="http://www.nevo.co.il/law/70301/144.b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4293891" TargetMode="External"/><Relationship Id="rId41" Type="http://schemas.openxmlformats.org/officeDocument/2006/relationships/hyperlink" Target="http://www.nevo.co.il/law/70301/144.b" TargetMode="External"/><Relationship Id="rId42" Type="http://schemas.openxmlformats.org/officeDocument/2006/relationships/hyperlink" Target="http://www.nevo.co.il/law/70301/29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20009157" TargetMode="External"/><Relationship Id="rId45" Type="http://schemas.openxmlformats.org/officeDocument/2006/relationships/hyperlink" Target="http://www.nevo.co.il/law/70301/144.a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144.b" TargetMode="External"/><Relationship Id="rId48" Type="http://schemas.openxmlformats.org/officeDocument/2006/relationships/hyperlink" Target="http://www.nevo.co.il/case/13042005" TargetMode="External"/><Relationship Id="rId49" Type="http://schemas.openxmlformats.org/officeDocument/2006/relationships/hyperlink" Target="http://www.nevo.co.il/law/70301/40i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40i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40ja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144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advertisements/nevo-100.doc" TargetMode="External"/><Relationship Id="rId58" Type="http://schemas.openxmlformats.org/officeDocument/2006/relationships/header" Target="header1.xml"/><Relationship Id="rId59" Type="http://schemas.openxmlformats.org/officeDocument/2006/relationships/footer" Target="footer1.xml"/><Relationship Id="rId60" Type="http://schemas.openxmlformats.org/officeDocument/2006/relationships/numbering" Target="numbering.xml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2018-02-27T11:52:00Z</dcterms:created>
  <dc:creator> </dc:creator>
  <dc:description/>
  <cp:keywords/>
  <dc:language>en-IL</dc:language>
  <cp:lastModifiedBy>run</cp:lastModifiedBy>
  <dcterms:modified xsi:type="dcterms:W3CDTF">2018-02-27T11:52:00Z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ג'בארין</vt:lpwstr>
  </property>
  <property fmtid="{D5CDD505-2E9C-101B-9397-08002B2CF9AE}" pid="4" name="CASESLISTTMP1">
    <vt:lpwstr>7791493:2;13093744;5878682;21474168;5818242;4293891;20009157;13042005</vt:lpwstr>
  </property>
  <property fmtid="{D5CDD505-2E9C-101B-9397-08002B2CF9AE}" pid="5" name="CITY">
    <vt:lpwstr>חי'</vt:lpwstr>
  </property>
  <property fmtid="{D5CDD505-2E9C-101B-9397-08002B2CF9AE}" pid="6" name="DATE">
    <vt:lpwstr>20170215</vt:lpwstr>
  </property>
  <property fmtid="{D5CDD505-2E9C-101B-9397-08002B2CF9AE}" pid="7" name="ISABSTRACT">
    <vt:lpwstr>Y</vt:lpwstr>
  </property>
  <property fmtid="{D5CDD505-2E9C-101B-9397-08002B2CF9AE}" pid="8" name="JUDGE">
    <vt:lpwstr>אבי לוי</vt:lpwstr>
  </property>
  <property fmtid="{D5CDD505-2E9C-101B-9397-08002B2CF9AE}" pid="9" name="LAWLISTTMP1">
    <vt:lpwstr>70301/144.b:6;380;287.a;fCa1S;040b;40jc.a;040c.a;029;144.a;040i:2;40ja;144</vt:lpwstr>
  </property>
  <property fmtid="{D5CDD505-2E9C-101B-9397-08002B2CF9AE}" pid="10" name="NEWPARTA">
    <vt:lpwstr>12213</vt:lpwstr>
  </property>
  <property fmtid="{D5CDD505-2E9C-101B-9397-08002B2CF9AE}" pid="11" name="NEWPARTB">
    <vt:lpwstr>10</vt:lpwstr>
  </property>
  <property fmtid="{D5CDD505-2E9C-101B-9397-08002B2CF9AE}" pid="12" name="NEWPARTC">
    <vt:lpwstr>16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390020170215</vt:lpwstr>
  </property>
  <property fmtid="{D5CDD505-2E9C-101B-9397-08002B2CF9AE}" pid="17" name="TYPE_N_DATE">
    <vt:lpwstr>39020170215</vt:lpwstr>
  </property>
  <property fmtid="{D5CDD505-2E9C-101B-9397-08002B2CF9AE}" pid="18" name="WORDNUMPAGES">
    <vt:lpwstr>8</vt:lpwstr>
  </property>
</Properties>
</file>