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12237-02-10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בחירי</w:t>
            </w:r>
            <w:r>
              <w:rPr>
                <w:sz w:val="28"/>
                <w:szCs w:val="28"/>
                <w:rtl w:val="true"/>
              </w:rPr>
              <w:t>(</w:t>
            </w:r>
            <w:r>
              <w:rPr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השופט  מרדכי לוי</w:t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המאשימה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: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Arial"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עאדל בחירי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)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192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249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329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8">
        <w:r>
          <w:rPr>
            <w:rStyle w:val="Hyperlink"/>
            <w:rFonts w:ascii="FrankRuehl" w:hAnsi="FrankRuehl" w:cs="FrankRuehl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>]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</w:rPr>
          <w:t>10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0">
        <w:r>
          <w:rPr>
            <w:rStyle w:val="Hyperlink"/>
            <w:rFonts w:ascii="FrankRuehl" w:hAnsi="FrankRuehl" w:cs="FrankRuehl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ל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1970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  <w:bookmarkStart w:id="7" w:name="PsakDin"/>
            <w:bookmarkStart w:id="8" w:name="PsakDin"/>
            <w:bookmarkEnd w:id="8"/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9" w:name="ABSTRACT_START"/>
      <w:bookmarkEnd w:id="9"/>
      <w:r>
        <w:rPr>
          <w:rtl w:val="true"/>
        </w:rPr>
        <w:t>הנאשם הורשע – על פי הודאתו</w:t>
      </w:r>
      <w:r>
        <w:rPr>
          <w:rtl w:val="true"/>
        </w:rPr>
        <w:t>,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במסגרת הסדר טיעון שהתייחס אך לתיקון כתב האישום</w:t>
      </w:r>
      <w:r>
        <w:rPr>
          <w:rtl w:val="true"/>
        </w:rPr>
        <w:t xml:space="preserve"> – בעבירות של חבלה בכוונה מחמירה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 העונשין</w:t>
      </w:r>
      <w:r>
        <w:rPr>
          <w:rtl w:val="true"/>
        </w:rPr>
        <w:t xml:space="preserve">");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rtl w:val="true"/>
        </w:rPr>
        <w:t>החזקת נשק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לחוק העונשין</w:t>
      </w:r>
      <w:bookmarkStart w:id="10" w:name="ABSTRACT_END"/>
      <w:bookmarkEnd w:id="10"/>
      <w:r>
        <w:rPr>
          <w:rtl w:val="true"/>
        </w:rPr>
        <w:t xml:space="preserve">; </w:t>
      </w:r>
      <w:r>
        <w:rPr>
          <w:rtl w:val="true"/>
        </w:rPr>
        <w:t>הובלת נשק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 לחוק העונשין</w:t>
      </w:r>
      <w:r>
        <w:rPr>
          <w:rtl w:val="true"/>
        </w:rPr>
        <w:t xml:space="preserve">; </w:t>
      </w:r>
      <w:r>
        <w:rPr>
          <w:rtl w:val="true"/>
        </w:rPr>
        <w:t>הטרדת עד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249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rtl w:val="true"/>
        </w:rPr>
        <w:t>נהיגה בלא רישיון נהיגה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rtl w:val="true"/>
          </w:rPr>
          <w:t>פקודת התעבורה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; </w:t>
      </w:r>
      <w:r>
        <w:rPr>
          <w:rtl w:val="true"/>
        </w:rPr>
        <w:t>ונהיגה בלא ביטוח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rtl w:val="true"/>
          </w:rPr>
          <w:t>פקודת ביטוח רכב מנועי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תש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1970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Style w:val="normal-h"/>
        </w:rPr>
        <w:t>2</w:t>
      </w:r>
      <w:r>
        <w:rPr>
          <w:rStyle w:val="normal-h"/>
          <w:rtl w:val="true"/>
        </w:rPr>
        <w:t>.</w:t>
        <w:tab/>
      </w:r>
      <w:r>
        <w:rPr>
          <w:rStyle w:val="normal-h"/>
          <w:rtl w:val="true"/>
        </w:rPr>
        <w:t>על פי עובדות כתב האישום המתוקן בשנית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שבהן הודה הנאשם</w:t>
      </w:r>
      <w:r>
        <w:rPr>
          <w:rStyle w:val="normal-h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ביום </w:t>
      </w:r>
      <w:r>
        <w:rPr/>
        <w:t>11/1/10</w:t>
      </w:r>
      <w:r>
        <w:rPr>
          <w:rtl w:val="true"/>
        </w:rPr>
        <w:t xml:space="preserve">, </w:t>
      </w:r>
      <w:r>
        <w:rPr>
          <w:rtl w:val="true"/>
        </w:rPr>
        <w:t>בשעות הערב</w:t>
      </w:r>
      <w:r>
        <w:rPr>
          <w:rtl w:val="true"/>
        </w:rPr>
        <w:t xml:space="preserve">, </w:t>
      </w:r>
      <w:r>
        <w:rPr>
          <w:rtl w:val="true"/>
        </w:rPr>
        <w:t>נהג הנאשם בכלי רכב</w:t>
      </w:r>
      <w:r>
        <w:rPr>
          <w:rtl w:val="true"/>
        </w:rPr>
        <w:t xml:space="preserve">, </w:t>
      </w:r>
      <w:r>
        <w:rPr>
          <w:rtl w:val="true"/>
        </w:rPr>
        <w:t>אף שמעולם לא החזיק ברישיון נהיגה</w:t>
      </w:r>
      <w:r>
        <w:rPr>
          <w:rtl w:val="true"/>
        </w:rPr>
        <w:t xml:space="preserve">. </w:t>
      </w:r>
      <w:r>
        <w:rPr>
          <w:rtl w:val="true"/>
        </w:rPr>
        <w:t xml:space="preserve">בשעה </w:t>
      </w:r>
      <w:r>
        <w:rPr/>
        <w:t>23.00</w:t>
      </w:r>
      <w:r>
        <w:rPr>
          <w:rtl w:val="true"/>
        </w:rPr>
        <w:t xml:space="preserve"> </w:t>
      </w:r>
      <w:r>
        <w:rPr>
          <w:rtl w:val="true"/>
        </w:rPr>
        <w:t>לערך נסע הנאשם לרהט</w:t>
      </w:r>
      <w:r>
        <w:rPr>
          <w:rtl w:val="true"/>
        </w:rPr>
        <w:t xml:space="preserve">, </w:t>
      </w:r>
      <w:r>
        <w:rPr>
          <w:rtl w:val="true"/>
        </w:rPr>
        <w:t xml:space="preserve">יחד עם אלנה ריזיילוב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אלנה</w:t>
      </w:r>
      <w:r>
        <w:rPr>
          <w:rtl w:val="true"/>
        </w:rPr>
        <w:t xml:space="preserve">"), </w:t>
      </w:r>
      <w:r>
        <w:rPr>
          <w:rtl w:val="true"/>
        </w:rPr>
        <w:t>והשניים שתו משקאות אלכוהוליים</w:t>
      </w:r>
      <w:r>
        <w:rPr>
          <w:rtl w:val="true"/>
        </w:rPr>
        <w:t xml:space="preserve">. </w:t>
      </w:r>
      <w:r>
        <w:rPr>
          <w:rtl w:val="true"/>
        </w:rPr>
        <w:t>הנאשם נטל מחצר ביתו אקדח ונסע יחד עם אלנה ועם אחר לשטח פתוח בסמוך לכפר תראבין</w:t>
      </w:r>
      <w:r>
        <w:rPr>
          <w:rtl w:val="true"/>
        </w:rPr>
        <w:t xml:space="preserve">. </w:t>
      </w:r>
      <w:r>
        <w:rPr>
          <w:rtl w:val="true"/>
        </w:rPr>
        <w:t>בהגיעם לשטח שאל הנאשם את אלנה האם תרצה לירות עמו באקדח</w:t>
      </w:r>
      <w:r>
        <w:rPr>
          <w:rtl w:val="true"/>
        </w:rPr>
        <w:t xml:space="preserve">, </w:t>
      </w:r>
      <w:r>
        <w:rPr>
          <w:rtl w:val="true"/>
        </w:rPr>
        <w:t>וזו השיבה בחיוב</w:t>
      </w:r>
      <w:r>
        <w:rPr>
          <w:rtl w:val="true"/>
        </w:rPr>
        <w:t xml:space="preserve">. </w:t>
      </w:r>
      <w:r>
        <w:rPr>
          <w:rtl w:val="true"/>
        </w:rPr>
        <w:t>הנאשם טען את האקדח בכדור אחד וירה באוויר</w:t>
      </w:r>
      <w:r>
        <w:rPr>
          <w:rtl w:val="true"/>
        </w:rPr>
        <w:t xml:space="preserve">, </w:t>
      </w:r>
      <w:r>
        <w:rPr>
          <w:rtl w:val="true"/>
        </w:rPr>
        <w:t>בעוד אלנה מחזיקה בידו</w:t>
      </w:r>
      <w:r>
        <w:rPr>
          <w:rtl w:val="true"/>
        </w:rPr>
        <w:t xml:space="preserve">. </w:t>
      </w:r>
      <w:r>
        <w:rPr>
          <w:rtl w:val="true"/>
        </w:rPr>
        <w:t>לאחר מכן שבו השניים ושתו משקאות אלכוהוליים</w:t>
      </w:r>
      <w:r>
        <w:rPr>
          <w:rtl w:val="true"/>
        </w:rPr>
        <w:t>.</w:t>
      </w:r>
    </w:p>
    <w:p>
      <w:pPr>
        <w:pStyle w:val="Style14"/>
        <w:ind w:firstLine="720" w:end="0"/>
        <w:jc w:val="both"/>
        <w:rPr/>
      </w:pPr>
      <w:r>
        <w:rPr>
          <w:rtl w:val="true"/>
        </w:rPr>
      </w:r>
    </w:p>
    <w:p>
      <w:pPr>
        <w:pStyle w:val="Style14"/>
        <w:ind w:firstLine="720" w:end="0"/>
        <w:jc w:val="both"/>
        <w:rPr/>
      </w:pPr>
      <w:r>
        <w:rPr>
          <w:rtl w:val="true"/>
        </w:rPr>
        <w:t>בהמשך נסעו הנאשם ואלנה לכיוון תחנת דלק שבכניסה לרהט</w:t>
      </w:r>
      <w:r>
        <w:rPr>
          <w:rtl w:val="true"/>
        </w:rPr>
        <w:t xml:space="preserve">. </w:t>
      </w:r>
      <w:r>
        <w:rPr>
          <w:rtl w:val="true"/>
        </w:rPr>
        <w:t xml:space="preserve">למקום הגיעו ראפעת אבו עידה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ראפעת</w:t>
      </w:r>
      <w:r>
        <w:rPr>
          <w:rtl w:val="true"/>
        </w:rPr>
        <w:t xml:space="preserve">") </w:t>
      </w:r>
      <w:r>
        <w:rPr>
          <w:rtl w:val="true"/>
        </w:rPr>
        <w:t>ואביו</w:t>
      </w:r>
      <w:r>
        <w:rPr>
          <w:rtl w:val="true"/>
        </w:rPr>
        <w:t xml:space="preserve">. </w:t>
      </w:r>
      <w:r>
        <w:rPr>
          <w:rtl w:val="true"/>
        </w:rPr>
        <w:t>ראפעת פנה לאלנה ושוחח עמה</w:t>
      </w:r>
      <w:r>
        <w:rPr>
          <w:rtl w:val="true"/>
        </w:rPr>
        <w:t xml:space="preserve">, </w:t>
      </w:r>
      <w:r>
        <w:rPr>
          <w:rtl w:val="true"/>
        </w:rPr>
        <w:t>דבר אשר עורר את כעסו של הנאשם</w:t>
      </w:r>
      <w:r>
        <w:rPr>
          <w:rtl w:val="true"/>
        </w:rPr>
        <w:t xml:space="preserve">. </w:t>
      </w:r>
      <w:r>
        <w:rPr>
          <w:rtl w:val="true"/>
        </w:rPr>
        <w:t>בין הנאשם לבין ראפעת התפתחה קטטה</w:t>
      </w:r>
      <w:r>
        <w:rPr>
          <w:rtl w:val="true"/>
        </w:rPr>
        <w:t xml:space="preserve">. </w:t>
      </w:r>
      <w:r>
        <w:rPr>
          <w:rtl w:val="true"/>
        </w:rPr>
        <w:t>אלנה ואנשים נוספים שהגיעו למקום ניסו להפריד בין השניים</w:t>
      </w:r>
      <w:r>
        <w:rPr>
          <w:rtl w:val="true"/>
        </w:rPr>
        <w:t xml:space="preserve">, </w:t>
      </w:r>
      <w:r>
        <w:rPr>
          <w:rtl w:val="true"/>
        </w:rPr>
        <w:t>ואלנה הפצירה בראפעת שיעזוב את המקום</w:t>
      </w:r>
      <w:r>
        <w:rPr>
          <w:rtl w:val="true"/>
        </w:rPr>
        <w:t xml:space="preserve">. </w:t>
      </w:r>
      <w:r>
        <w:rPr>
          <w:rtl w:val="true"/>
        </w:rPr>
        <w:t>ראפעת נכנס לרכבו והחל בנסיעה</w:t>
      </w:r>
      <w:r>
        <w:rPr>
          <w:rtl w:val="true"/>
        </w:rPr>
        <w:t xml:space="preserve">. </w:t>
      </w:r>
      <w:r>
        <w:rPr>
          <w:rtl w:val="true"/>
        </w:rPr>
        <w:t>תוך כדי כך ניגש הנאשם לרכבו והביא עמו אקדח</w:t>
      </w:r>
      <w:r>
        <w:rPr>
          <w:rtl w:val="true"/>
        </w:rPr>
        <w:t xml:space="preserve">, </w:t>
      </w:r>
      <w:r>
        <w:rPr>
          <w:rtl w:val="true"/>
        </w:rPr>
        <w:t>דרך אותו</w:t>
      </w:r>
      <w:r>
        <w:rPr>
          <w:rtl w:val="true"/>
        </w:rPr>
        <w:t xml:space="preserve">, </w:t>
      </w:r>
      <w:r>
        <w:rPr>
          <w:rtl w:val="true"/>
        </w:rPr>
        <w:t>וירה שתי יריות לכיוון רכבו של ראפעת בזמן שכלי הרכב החל בנסיעה</w:t>
      </w:r>
      <w:r>
        <w:rPr>
          <w:rtl w:val="true"/>
        </w:rPr>
        <w:t xml:space="preserve">, </w:t>
      </w:r>
      <w:r>
        <w:rPr>
          <w:rtl w:val="true"/>
        </w:rPr>
        <w:t>וזאת בכוונה להפחידו</w:t>
      </w:r>
      <w:r>
        <w:rPr>
          <w:rtl w:val="true"/>
        </w:rPr>
        <w:t xml:space="preserve">. </w:t>
      </w:r>
    </w:p>
    <w:p>
      <w:pPr>
        <w:pStyle w:val="Style14"/>
        <w:ind w:firstLine="720" w:end="0"/>
        <w:jc w:val="both"/>
        <w:rPr/>
      </w:pPr>
      <w:r>
        <w:rPr>
          <w:rtl w:val="true"/>
        </w:rPr>
      </w:r>
    </w:p>
    <w:p>
      <w:pPr>
        <w:pStyle w:val="Style14"/>
        <w:ind w:firstLine="720" w:end="0"/>
        <w:jc w:val="both"/>
        <w:rPr/>
      </w:pPr>
      <w:r>
        <w:rPr>
          <w:rtl w:val="true"/>
        </w:rPr>
        <w:t>סמוך לאחר מכן נסעו הנאשם</w:t>
      </w:r>
      <w:r>
        <w:rPr>
          <w:rtl w:val="true"/>
        </w:rPr>
        <w:t xml:space="preserve">, </w:t>
      </w:r>
      <w:r>
        <w:rPr>
          <w:rtl w:val="true"/>
        </w:rPr>
        <w:t xml:space="preserve">אלנה ושני אחרים לעיר רהט על מנת לחפש את כמאל אבו סדרה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כמאל</w:t>
      </w:r>
      <w:r>
        <w:rPr>
          <w:rtl w:val="true"/>
        </w:rPr>
        <w:t xml:space="preserve">"), </w:t>
      </w:r>
      <w:r>
        <w:rPr>
          <w:rtl w:val="true"/>
        </w:rPr>
        <w:t>בעקבות מידע שהגיע לידיעת הנאשם והכעיסו</w:t>
      </w:r>
      <w:r>
        <w:rPr>
          <w:rtl w:val="true"/>
        </w:rPr>
        <w:t xml:space="preserve">, </w:t>
      </w:r>
      <w:r>
        <w:rPr>
          <w:rtl w:val="true"/>
        </w:rPr>
        <w:t>ושלפיו כמאל מתכוון לעשות עסקה באקדחו של הנאשם</w:t>
      </w:r>
      <w:r>
        <w:rPr>
          <w:rtl w:val="true"/>
        </w:rPr>
        <w:t xml:space="preserve">. </w:t>
      </w:r>
      <w:r>
        <w:rPr>
          <w:rtl w:val="true"/>
        </w:rPr>
        <w:t>הנאשם איתר את כמאל</w:t>
      </w:r>
      <w:r>
        <w:rPr>
          <w:rtl w:val="true"/>
        </w:rPr>
        <w:t xml:space="preserve">, </w:t>
      </w:r>
      <w:r>
        <w:rPr>
          <w:rtl w:val="true"/>
        </w:rPr>
        <w:t>ובין השניים פרץ ויכוח</w:t>
      </w:r>
      <w:r>
        <w:rPr>
          <w:rtl w:val="true"/>
        </w:rPr>
        <w:t xml:space="preserve">. </w:t>
      </w:r>
      <w:r>
        <w:rPr>
          <w:rtl w:val="true"/>
        </w:rPr>
        <w:t>הנאשם יצא מרכבו כשהוא נושא אקדח ואיים על כמאל כי יירה בו</w:t>
      </w:r>
      <w:r>
        <w:rPr>
          <w:rtl w:val="true"/>
        </w:rPr>
        <w:t xml:space="preserve">. </w:t>
      </w:r>
      <w:r>
        <w:rPr>
          <w:rtl w:val="true"/>
        </w:rPr>
        <w:t>הנאשם התקרב לכיוונו של כמאל</w:t>
      </w:r>
      <w:r>
        <w:rPr>
          <w:rtl w:val="true"/>
        </w:rPr>
        <w:t xml:space="preserve">, </w:t>
      </w:r>
      <w:r>
        <w:rPr>
          <w:rtl w:val="true"/>
        </w:rPr>
        <w:t>כיוון לעברו את האקדח וירה בו בכוונה להטיל בו נכות או מום או לגרום לו חבלה חמורה</w:t>
      </w:r>
      <w:r>
        <w:rPr>
          <w:rtl w:val="true"/>
        </w:rPr>
        <w:t xml:space="preserve">. </w:t>
      </w:r>
      <w:r>
        <w:rPr>
          <w:rtl w:val="true"/>
        </w:rPr>
        <w:t>כמאל נפצע מהירי בידו</w:t>
      </w:r>
      <w:r>
        <w:rPr>
          <w:rtl w:val="true"/>
        </w:rPr>
        <w:t xml:space="preserve">, </w:t>
      </w:r>
      <w:r>
        <w:rPr>
          <w:rtl w:val="true"/>
        </w:rPr>
        <w:t>ונוצר שבר פתוח מרוסק תוך מפרקי באצבעו</w:t>
      </w:r>
      <w:r>
        <w:rPr>
          <w:rtl w:val="true"/>
        </w:rPr>
        <w:t xml:space="preserve">. </w:t>
      </w:r>
      <w:r>
        <w:rPr>
          <w:rtl w:val="true"/>
        </w:rPr>
        <w:t xml:space="preserve">בגין כך הוא נותח בבית החולים </w:t>
      </w:r>
      <w:r>
        <w:rPr>
          <w:rtl w:val="true"/>
        </w:rPr>
        <w:t>"</w:t>
      </w:r>
      <w:r>
        <w:rPr>
          <w:rtl w:val="true"/>
        </w:rPr>
        <w:t>סורוקה</w:t>
      </w:r>
      <w:r>
        <w:rPr>
          <w:rtl w:val="true"/>
        </w:rPr>
        <w:t>".</w:t>
      </w:r>
    </w:p>
    <w:p>
      <w:pPr>
        <w:pStyle w:val="Style14"/>
        <w:ind w:firstLine="720" w:end="0"/>
        <w:jc w:val="both"/>
        <w:rPr/>
      </w:pPr>
      <w:r>
        <w:rPr>
          <w:rtl w:val="true"/>
        </w:rPr>
      </w:r>
    </w:p>
    <w:p>
      <w:pPr>
        <w:pStyle w:val="Style14"/>
        <w:ind w:firstLine="720" w:end="0"/>
        <w:jc w:val="both"/>
        <w:rPr/>
      </w:pPr>
      <w:r>
        <w:rPr>
          <w:rtl w:val="true"/>
        </w:rPr>
        <w:t xml:space="preserve">במהלך המחצית השנייה של חודש ינואר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לאחר שאלנה נחקרה במשטרה אודות האירועים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פנה הנאשם לאלנה ושאל אותה בנוגע לחקירת האירועים</w:t>
      </w:r>
      <w:r>
        <w:rPr>
          <w:rtl w:val="true"/>
        </w:rPr>
        <w:t xml:space="preserve">.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הוא שאל אותה האם </w:t>
      </w:r>
      <w:r>
        <w:rPr>
          <w:rtl w:val="true"/>
        </w:rPr>
        <w:t>"</w:t>
      </w:r>
      <w:r>
        <w:rPr>
          <w:rtl w:val="true"/>
        </w:rPr>
        <w:t>פתחה עליו</w:t>
      </w:r>
      <w:r>
        <w:rPr>
          <w:rtl w:val="true"/>
        </w:rPr>
        <w:t xml:space="preserve">"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אלנה השיבה בשלילה</w:t>
      </w:r>
      <w:r>
        <w:rPr>
          <w:rtl w:val="true"/>
        </w:rPr>
        <w:t xml:space="preserve">. </w:t>
      </w:r>
      <w:r>
        <w:rPr>
          <w:rtl w:val="true"/>
        </w:rPr>
        <w:t>הנאשם אמר לאלנה כי בכוונתו לשבש את החקירה</w:t>
      </w:r>
      <w:r>
        <w:rPr>
          <w:rtl w:val="true"/>
        </w:rPr>
        <w:t xml:space="preserve">, </w:t>
      </w:r>
      <w:r>
        <w:rPr>
          <w:rtl w:val="true"/>
        </w:rPr>
        <w:t>בכך שיאמר בחקירתו שהוא אינו מכיר אותה וכי אין לו כל קשר אליה</w:t>
      </w:r>
      <w:r>
        <w:rPr>
          <w:rtl w:val="true"/>
        </w:rPr>
        <w:t xml:space="preserve">. </w:t>
      </w:r>
      <w:r>
        <w:rPr>
          <w:rtl w:val="true"/>
        </w:rPr>
        <w:t>בהתאם לכך</w:t>
      </w:r>
      <w:r>
        <w:rPr>
          <w:rtl w:val="true"/>
        </w:rPr>
        <w:t xml:space="preserve">, </w:t>
      </w:r>
      <w:r>
        <w:rPr>
          <w:rtl w:val="true"/>
        </w:rPr>
        <w:t>הנאשם טען בחקירתו כי אינו מכיר את אלנה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 xml:space="preserve">הודאת הנאשם באה לאחר כפירתו ולאחר שמיעת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מעדי התביעה</w:t>
      </w:r>
      <w:r>
        <w:rPr>
          <w:rtl w:val="true"/>
        </w:rPr>
        <w:t xml:space="preserve">, </w:t>
      </w:r>
      <w:r>
        <w:rPr>
          <w:rtl w:val="true"/>
        </w:rPr>
        <w:t>כאמור בגדרו של הסדר טיעון</w:t>
      </w:r>
      <w:r>
        <w:rPr>
          <w:rtl w:val="true"/>
        </w:rPr>
        <w:t xml:space="preserve">, </w:t>
      </w:r>
      <w:r>
        <w:rPr>
          <w:rtl w:val="true"/>
        </w:rPr>
        <w:t>שלפיו הנאשם יודה ויורשע בכתב האישום המתוקן</w:t>
      </w:r>
      <w:r>
        <w:rPr>
          <w:rtl w:val="true"/>
        </w:rPr>
        <w:t xml:space="preserve">, </w:t>
      </w:r>
      <w:r>
        <w:rPr>
          <w:rtl w:val="true"/>
        </w:rPr>
        <w:t>ויוגש בעניינו תסקיר שירות המבחן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2"/>
        <w:ind w:end="0"/>
        <w:jc w:val="start"/>
        <w:rPr/>
      </w:pPr>
      <w:r>
        <w:rPr>
          <w:rtl w:val="true"/>
        </w:rPr>
        <w:t>תסקיר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המבחן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נשוי ואב לשתי בנות קטנות</w:t>
      </w:r>
      <w:r>
        <w:rPr>
          <w:rtl w:val="true"/>
        </w:rPr>
        <w:t xml:space="preserve">. </w:t>
      </w:r>
      <w:r>
        <w:rPr>
          <w:rtl w:val="true"/>
        </w:rPr>
        <w:t>הוא גדל במציאות קשת יום</w:t>
      </w:r>
      <w:r>
        <w:rPr>
          <w:rtl w:val="true"/>
        </w:rPr>
        <w:t xml:space="preserve">. </w:t>
      </w:r>
      <w:r>
        <w:rPr>
          <w:rtl w:val="true"/>
        </w:rPr>
        <w:t>אחיו נהרג לפני שלוש שנים</w:t>
      </w:r>
      <w:r>
        <w:rPr>
          <w:rtl w:val="true"/>
        </w:rPr>
        <w:t xml:space="preserve">. </w:t>
      </w:r>
      <w:r>
        <w:rPr>
          <w:rtl w:val="true"/>
        </w:rPr>
        <w:t>הנאשם התקשה להתמודד עם האובדן</w:t>
      </w:r>
      <w:r>
        <w:rPr>
          <w:rtl w:val="true"/>
        </w:rPr>
        <w:t xml:space="preserve">, </w:t>
      </w:r>
      <w:r>
        <w:rPr>
          <w:rtl w:val="true"/>
        </w:rPr>
        <w:t>והרבה להשתמש באלכוהול</w:t>
      </w:r>
      <w:r>
        <w:rPr>
          <w:rtl w:val="true"/>
        </w:rPr>
        <w:t xml:space="preserve">. </w:t>
      </w:r>
      <w:r>
        <w:rPr>
          <w:rtl w:val="true"/>
        </w:rPr>
        <w:t>שירות המבחן התרשם מהתהליך שעבר במהלך תקופת מעצרו</w:t>
      </w:r>
      <w:r>
        <w:rPr>
          <w:rtl w:val="true"/>
        </w:rPr>
        <w:t xml:space="preserve">: </w:t>
      </w:r>
      <w:r>
        <w:rPr>
          <w:rtl w:val="true"/>
        </w:rPr>
        <w:t>מעמדה מגוננת המצמצמת את חומרת בעיותיו ללקיחת האחריות על ניהול חייו</w:t>
      </w:r>
      <w:r>
        <w:rPr>
          <w:rtl w:val="true"/>
        </w:rPr>
        <w:t xml:space="preserve">. </w:t>
      </w:r>
      <w:r>
        <w:rPr>
          <w:rtl w:val="true"/>
        </w:rPr>
        <w:t>יכולתו לשנות את עמדותיו תוך בחינת מצבו כיום ובעבר מעידים על יכולתו לשינוי ולשיקום</w:t>
      </w:r>
      <w:r>
        <w:rPr>
          <w:rtl w:val="true"/>
        </w:rPr>
        <w:t xml:space="preserve">. </w:t>
      </w:r>
      <w:r>
        <w:rPr>
          <w:rtl w:val="true"/>
        </w:rPr>
        <w:t>הנאשם לקח אחריות על מעשיו</w:t>
      </w:r>
      <w:r>
        <w:rPr>
          <w:rtl w:val="true"/>
        </w:rPr>
        <w:t xml:space="preserve">, </w:t>
      </w:r>
      <w:r>
        <w:rPr>
          <w:rtl w:val="true"/>
        </w:rPr>
        <w:t>אם כי ציין שלא היה בכוונתו לפגוע במתלונן</w:t>
      </w:r>
      <w:r>
        <w:rPr>
          <w:rtl w:val="true"/>
        </w:rPr>
        <w:t xml:space="preserve">. </w:t>
      </w:r>
      <w:r>
        <w:rPr>
          <w:rtl w:val="true"/>
        </w:rPr>
        <w:t xml:space="preserve">נוכח חומרת המעשים הנאשם </w:t>
      </w:r>
      <w:r>
        <w:rPr>
          <w:rtl w:val="true"/>
        </w:rPr>
        <w:t>"</w:t>
      </w:r>
      <w:r>
        <w:rPr>
          <w:rtl w:val="true"/>
        </w:rPr>
        <w:t>זקוק למסר מוחשי שיסייע לו להציב גבולות ברורים לטווח הארוך</w:t>
      </w:r>
      <w:r>
        <w:rPr>
          <w:rtl w:val="true"/>
        </w:rPr>
        <w:t xml:space="preserve">", </w:t>
      </w:r>
      <w:r>
        <w:rPr>
          <w:rtl w:val="true"/>
        </w:rPr>
        <w:t>ועל כן הומלץ להטיל עליו עונש מוחשי במסגרת מאסר בפועל תוך לקיחה בחשבון את תקופת מעצרו הממושכת נוכח השינוי החיובי בעמדותיו</w:t>
      </w:r>
      <w:r>
        <w:rPr>
          <w:rtl w:val="true"/>
        </w:rPr>
        <w:t>.</w:t>
      </w:r>
    </w:p>
    <w:p>
      <w:pPr>
        <w:pStyle w:val="2"/>
        <w:ind w:end="0"/>
        <w:jc w:val="start"/>
        <w:rPr/>
      </w:pPr>
      <w:r>
        <w:rPr>
          <w:rtl w:val="true"/>
        </w:rPr>
        <w:t>הטיעונים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לעונש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 המאשימה הדגישה בטיעוניה</w:t>
      </w:r>
      <w:r>
        <w:rPr>
          <w:rtl w:val="true"/>
        </w:rPr>
        <w:t xml:space="preserve">, </w:t>
      </w:r>
      <w:r>
        <w:rPr>
          <w:rtl w:val="true"/>
        </w:rPr>
        <w:t>בכתב ובעל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כי הנאשם ביצע מסע ירי פרוע בלא כל מורא</w:t>
      </w:r>
      <w:r>
        <w:rPr>
          <w:rtl w:val="true"/>
        </w:rPr>
        <w:t xml:space="preserve">, </w:t>
      </w:r>
      <w:r>
        <w:rPr>
          <w:rtl w:val="true"/>
        </w:rPr>
        <w:t>בפרק זמן של שעות בודדות</w:t>
      </w:r>
      <w:r>
        <w:rPr>
          <w:rtl w:val="true"/>
        </w:rPr>
        <w:t xml:space="preserve">, </w:t>
      </w:r>
      <w:r>
        <w:rPr>
          <w:rtl w:val="true"/>
        </w:rPr>
        <w:t>כשהוא נושא ומוביל נשק שלא כדין</w:t>
      </w:r>
      <w:r>
        <w:rPr>
          <w:rtl w:val="true"/>
        </w:rPr>
        <w:t xml:space="preserve">, </w:t>
      </w:r>
      <w:r>
        <w:rPr>
          <w:rtl w:val="true"/>
        </w:rPr>
        <w:t>כשהוא נוהג בלא רישיון</w:t>
      </w:r>
      <w:r>
        <w:rPr>
          <w:rtl w:val="true"/>
        </w:rPr>
        <w:t xml:space="preserve">, </w:t>
      </w:r>
      <w:r>
        <w:rPr>
          <w:rtl w:val="true"/>
        </w:rPr>
        <w:t>לאחר שתיית משקאות אלכוהוליים</w:t>
      </w:r>
      <w:r>
        <w:rPr>
          <w:rtl w:val="true"/>
        </w:rPr>
        <w:t xml:space="preserve">, </w:t>
      </w:r>
      <w:r>
        <w:rPr>
          <w:rtl w:val="true"/>
        </w:rPr>
        <w:t>מסיע אחרים ברכב ומסכן את ביטחון הציבור</w:t>
      </w:r>
      <w:r>
        <w:rPr>
          <w:rtl w:val="true"/>
        </w:rPr>
        <w:t xml:space="preserve">. </w:t>
      </w:r>
      <w:r>
        <w:rPr>
          <w:rtl w:val="true"/>
        </w:rPr>
        <w:t>רק בדרך נס לא נגרמה תוצאה קטלנית</w:t>
      </w:r>
      <w:r>
        <w:rPr>
          <w:rtl w:val="true"/>
        </w:rPr>
        <w:t xml:space="preserve">. </w:t>
      </w:r>
      <w:r>
        <w:rPr>
          <w:rtl w:val="true"/>
        </w:rPr>
        <w:t>לכל אלו יש להוסיף את ההטרדה של אלנה לאחר האירועים</w:t>
      </w:r>
      <w:r>
        <w:rPr>
          <w:rtl w:val="true"/>
        </w:rPr>
        <w:t xml:space="preserve">. </w:t>
      </w:r>
      <w:r>
        <w:rPr>
          <w:rtl w:val="true"/>
        </w:rPr>
        <w:t>המעשים מלמדים כי אין מדובר באדם נורמטיבי אלא באדם אימפולסיבי</w:t>
      </w:r>
      <w:r>
        <w:rPr>
          <w:rtl w:val="true"/>
        </w:rPr>
        <w:t xml:space="preserve">, </w:t>
      </w:r>
      <w:r>
        <w:rPr>
          <w:rtl w:val="true"/>
        </w:rPr>
        <w:t>אלים ומסוכן לציבור אשר אינו נרתע מהחוק ואינו מייחס חשיבות לקדושת החיים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 המאשימה עמדה על חומרת עבירות האלימות בכלל</w:t>
      </w:r>
      <w:r>
        <w:rPr>
          <w:rtl w:val="true"/>
        </w:rPr>
        <w:t xml:space="preserve">, </w:t>
      </w:r>
      <w:r>
        <w:rPr>
          <w:rtl w:val="true"/>
        </w:rPr>
        <w:t>והעבירות שבהן נעשה שימוש בנשק חם בפרט</w:t>
      </w:r>
      <w:r>
        <w:rPr>
          <w:rtl w:val="true"/>
        </w:rPr>
        <w:t xml:space="preserve">, </w:t>
      </w:r>
      <w:r>
        <w:rPr>
          <w:rtl w:val="true"/>
        </w:rPr>
        <w:t>ועל מדיניות הענישה המחמירה המתחייבת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היא הגישה קובץ פסיקה המתייחס לעבירות של החזקת נשק</w:t>
      </w:r>
      <w:r>
        <w:rPr>
          <w:rtl w:val="true"/>
        </w:rPr>
        <w:t xml:space="preserve">, </w:t>
      </w:r>
      <w:r>
        <w:rPr>
          <w:rtl w:val="true"/>
        </w:rPr>
        <w:t xml:space="preserve">שלגביהן הוטלו עונשי מאסר בפועל של </w:t>
      </w:r>
      <w:r>
        <w:rPr/>
        <w:t>50-20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ולעבירות של ירי</w:t>
      </w:r>
      <w:r>
        <w:rPr>
          <w:rtl w:val="true"/>
        </w:rPr>
        <w:t xml:space="preserve">, </w:t>
      </w:r>
      <w:r>
        <w:rPr>
          <w:rtl w:val="true"/>
        </w:rPr>
        <w:t xml:space="preserve">שלגביהן הוטלו עונשים של </w:t>
      </w:r>
      <w:r>
        <w:rPr/>
        <w:t>7-5.5</w:t>
      </w:r>
      <w:r>
        <w:rPr>
          <w:rtl w:val="true"/>
        </w:rPr>
        <w:t xml:space="preserve"> </w:t>
      </w:r>
      <w:r>
        <w:rPr>
          <w:rtl w:val="true"/>
        </w:rPr>
        <w:t xml:space="preserve">שנים בפועל </w:t>
      </w:r>
      <w:r>
        <w:rPr>
          <w:rtl w:val="true"/>
        </w:rPr>
        <w:t>(</w:t>
      </w:r>
      <w:hyperlink r:id="rId2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1394/10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 xml:space="preserve">אלכמלאת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>[</w:t>
      </w:r>
      <w:r>
        <w:rPr>
          <w:rtl w:val="true"/>
        </w:rPr>
        <w:t>פורסם בנבו</w:t>
      </w:r>
      <w:r>
        <w:rPr>
          <w:rtl w:val="true"/>
        </w:rPr>
        <w:t xml:space="preserve">, </w:t>
      </w:r>
      <w:r>
        <w:rPr>
          <w:rtl w:val="true"/>
        </w:rPr>
        <w:t xml:space="preserve">ניתן ביום </w:t>
      </w:r>
      <w:r>
        <w:rPr/>
        <w:t>29/11/10</w:t>
      </w:r>
      <w:r>
        <w:rPr>
          <w:rtl w:val="true"/>
        </w:rPr>
        <w:t xml:space="preserve">]; </w:t>
      </w:r>
      <w:hyperlink r:id="rId2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מחוזי ב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ש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8265/06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 xml:space="preserve">אלאטרש </w:t>
      </w:r>
      <w:r>
        <w:rPr>
          <w:rtl w:val="true"/>
        </w:rPr>
        <w:t>[</w:t>
      </w:r>
      <w:r>
        <w:rPr>
          <w:rtl w:val="true"/>
        </w:rPr>
        <w:t xml:space="preserve">ניתן ביום </w:t>
      </w:r>
      <w:r>
        <w:rPr/>
        <w:t>14/4/10</w:t>
      </w:r>
      <w:r>
        <w:rPr>
          <w:rtl w:val="true"/>
        </w:rPr>
        <w:t xml:space="preserve">]).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 המאשימה עתרה להשית על הנאשם מאסר בפועל ארוך ומרתיע</w:t>
      </w:r>
      <w:r>
        <w:rPr>
          <w:rtl w:val="true"/>
        </w:rPr>
        <w:t xml:space="preserve">, </w:t>
      </w:r>
      <w:r>
        <w:rPr>
          <w:rtl w:val="true"/>
        </w:rPr>
        <w:t>מאסר על תנאי ארוך ומרתיע</w:t>
      </w:r>
      <w:r>
        <w:rPr>
          <w:rtl w:val="true"/>
        </w:rPr>
        <w:t xml:space="preserve">, </w:t>
      </w:r>
      <w:r>
        <w:rPr>
          <w:rtl w:val="true"/>
        </w:rPr>
        <w:t>פסילה מלקבל או מלהחזיק רישיון נהיגה למשך תקופה ארוכה</w:t>
      </w:r>
      <w:r>
        <w:rPr>
          <w:rtl w:val="true"/>
        </w:rPr>
        <w:t xml:space="preserve">, </w:t>
      </w:r>
      <w:r>
        <w:rPr>
          <w:rtl w:val="true"/>
        </w:rPr>
        <w:t>קנס כספי כבד ופיצוי למתלונן אשר נפגע מהירי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הנאשם עמד על ההבדלים שבין כתב האישום המתוקן לבין כתב האישום המקורי</w:t>
      </w:r>
      <w:r>
        <w:rPr>
          <w:rtl w:val="true"/>
        </w:rPr>
        <w:t xml:space="preserve">. </w:t>
      </w:r>
      <w:r>
        <w:rPr>
          <w:rtl w:val="true"/>
        </w:rPr>
        <w:t>כמו כן הזכיר כי חבלתו של המתלונן איננה חמורה</w:t>
      </w:r>
      <w:r>
        <w:rPr>
          <w:rtl w:val="true"/>
        </w:rPr>
        <w:t xml:space="preserve">. </w:t>
      </w:r>
      <w:r>
        <w:rPr>
          <w:rtl w:val="true"/>
        </w:rPr>
        <w:t>עוד הוסיף כי יש להביא בחשבון את כל הנסיבות המקלות</w:t>
      </w:r>
      <w:r>
        <w:rPr>
          <w:rtl w:val="true"/>
        </w:rPr>
        <w:t xml:space="preserve">: </w:t>
      </w:r>
      <w:r>
        <w:rPr>
          <w:rtl w:val="true"/>
        </w:rPr>
        <w:t>העובדה שהנאשם נעדר עבר פלילי</w:t>
      </w:r>
      <w:r>
        <w:rPr>
          <w:rtl w:val="true"/>
        </w:rPr>
        <w:t xml:space="preserve">; </w:t>
      </w:r>
      <w:r>
        <w:rPr>
          <w:rtl w:val="true"/>
        </w:rPr>
        <w:t>הודאת הנאשם במסגרת הסדר הטיעון שייתרה את עדותה של העדה המרכזית</w:t>
      </w:r>
      <w:r>
        <w:rPr>
          <w:rtl w:val="true"/>
        </w:rPr>
        <w:t xml:space="preserve">; </w:t>
      </w:r>
      <w:r>
        <w:rPr>
          <w:rtl w:val="true"/>
        </w:rPr>
        <w:t>הנאשם לקח אחריות על מעשיו</w:t>
      </w:r>
      <w:r>
        <w:rPr>
          <w:rtl w:val="true"/>
        </w:rPr>
        <w:t xml:space="preserve">; </w:t>
      </w:r>
      <w:r>
        <w:rPr>
          <w:rtl w:val="true"/>
        </w:rPr>
        <w:t>ונסיבותיו האישיות והמשפחתיות אשר תרמו למעורבותו בפלילים</w:t>
      </w:r>
      <w:r>
        <w:rPr>
          <w:rtl w:val="true"/>
        </w:rPr>
        <w:t xml:space="preserve">. </w:t>
      </w:r>
      <w:r>
        <w:rPr>
          <w:rtl w:val="true"/>
        </w:rPr>
        <w:t>הוטעם כי את הסיכוי לשיקום של הנאשם יש להביא בחשבון בעת קביעת אורך תקופת המאסר</w:t>
      </w:r>
      <w:r>
        <w:rPr>
          <w:rtl w:val="true"/>
        </w:rPr>
        <w:t xml:space="preserve">, </w:t>
      </w:r>
      <w:r>
        <w:rPr>
          <w:rtl w:val="true"/>
        </w:rPr>
        <w:t>ועל כן אין למצות עם הנאשם את מלוא חומרת הדין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הנאשם הגיש קובץ פסיקה המתייחס לעבירות אלימות</w:t>
      </w:r>
      <w:r>
        <w:rPr>
          <w:rtl w:val="true"/>
        </w:rPr>
        <w:t xml:space="preserve">, </w:t>
      </w:r>
      <w:r>
        <w:rPr>
          <w:rtl w:val="true"/>
        </w:rPr>
        <w:t>חלקם על</w:t>
      </w:r>
      <w:r>
        <w:rPr>
          <w:rtl w:val="true"/>
        </w:rPr>
        <w:t>-</w:t>
      </w:r>
      <w:r>
        <w:rPr>
          <w:rtl w:val="true"/>
        </w:rPr>
        <w:t>ידי בעלי עבר פלילי</w:t>
      </w:r>
      <w:r>
        <w:rPr>
          <w:rtl w:val="true"/>
        </w:rPr>
        <w:t xml:space="preserve">, </w:t>
      </w:r>
      <w:r>
        <w:rPr>
          <w:rtl w:val="true"/>
        </w:rPr>
        <w:t xml:space="preserve">שבהם נפסקו עונשי מאסר בפועל של עד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שנים </w:t>
      </w:r>
      <w:r>
        <w:rPr>
          <w:rtl w:val="true"/>
        </w:rPr>
        <w:t>(</w:t>
      </w:r>
      <w:hyperlink r:id="rId2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8498/07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 xml:space="preserve">בי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>(</w:t>
      </w:r>
      <w:r>
        <w:rPr>
          <w:rtl w:val="true"/>
        </w:rPr>
        <w:t xml:space="preserve">ניתן ביום </w:t>
      </w:r>
      <w:r>
        <w:rPr/>
        <w:t>18/2/08</w:t>
      </w:r>
      <w:r>
        <w:rPr>
          <w:rtl w:val="true"/>
        </w:rPr>
        <w:t>)).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Fonts w:eastAsia="Times"/>
          <w:rtl w:val="true"/>
        </w:rPr>
        <w:t xml:space="preserve">           </w:t>
      </w:r>
      <w:r>
        <w:rPr>
          <w:rtl w:val="true"/>
        </w:rPr>
        <w:t>הנאשם ביקש בבית המשפט סליחה על מעשיו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2"/>
        <w:ind w:end="0"/>
        <w:jc w:val="start"/>
        <w:rPr/>
      </w:pPr>
      <w:r>
        <w:rPr>
          <w:rtl w:val="true"/>
        </w:rPr>
        <w:t>דיון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והכרעה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הנאשם הורשע בעבירות של חבלה בכוונה מחמירה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החזקת נשק והובלת נשק</w:t>
      </w:r>
      <w:r>
        <w:rPr>
          <w:rtl w:val="true"/>
        </w:rPr>
        <w:t xml:space="preserve">, </w:t>
      </w:r>
      <w:r>
        <w:rPr>
          <w:rtl w:val="true"/>
        </w:rPr>
        <w:t>הטרדת עד ונהיגה בהעדר רישיון ובהעדר ביטוח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>אין מדובר במעשה בודד</w:t>
      </w:r>
      <w:r>
        <w:rPr>
          <w:rtl w:val="true"/>
        </w:rPr>
        <w:t xml:space="preserve">, </w:t>
      </w:r>
      <w:r>
        <w:rPr>
          <w:rtl w:val="true"/>
        </w:rPr>
        <w:t>אלא בשרשרת של עבירות</w:t>
      </w:r>
      <w:r>
        <w:rPr>
          <w:rtl w:val="true"/>
        </w:rPr>
        <w:t xml:space="preserve">, </w:t>
      </w:r>
      <w:r>
        <w:rPr>
          <w:rtl w:val="true"/>
        </w:rPr>
        <w:t>בעיקר עבירות נשק וירי אשר מרביתן בוצעו בלילה אחד</w:t>
      </w:r>
      <w:r>
        <w:rPr>
          <w:rtl w:val="true"/>
        </w:rPr>
        <w:t xml:space="preserve">, </w:t>
      </w:r>
      <w:r>
        <w:rPr>
          <w:rtl w:val="true"/>
        </w:rPr>
        <w:t>בנוסף לעבירה של הטרדת עד שבוצעה במועד מאוחר יותר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>העבירות שבהן הורשע הנאשם הנן חמורות ומסוכנות</w:t>
      </w:r>
      <w:r>
        <w:rPr>
          <w:rtl w:val="true"/>
        </w:rPr>
        <w:t xml:space="preserve">. </w:t>
      </w:r>
      <w:r>
        <w:rPr>
          <w:rtl w:val="true"/>
        </w:rPr>
        <w:t>מעשי הנאשם הובילו לפגיעה בגוף ואף היו עלולים להסתיים בתוצאה חמורה יותר</w:t>
      </w:r>
      <w:r>
        <w:rPr>
          <w:rtl w:val="true"/>
        </w:rPr>
        <w:t xml:space="preserve">. </w:t>
      </w:r>
      <w:r>
        <w:rPr>
          <w:rtl w:val="true"/>
        </w:rPr>
        <w:t>כפי שנפסק לא אחת</w:t>
      </w:r>
      <w:r>
        <w:rPr>
          <w:rtl w:val="true"/>
        </w:rPr>
        <w:t xml:space="preserve">, </w:t>
      </w:r>
      <w:r>
        <w:rPr>
          <w:rtl w:val="true"/>
        </w:rPr>
        <w:t>יש להחמיר בדינם של מבצעי עבירות אלימות בכלל</w:t>
      </w:r>
      <w:r>
        <w:rPr>
          <w:rtl w:val="true"/>
        </w:rPr>
        <w:t xml:space="preserve">, </w:t>
      </w:r>
      <w:r>
        <w:rPr>
          <w:rtl w:val="true"/>
        </w:rPr>
        <w:t>ותוך שימוש בנשק חם בפרט</w:t>
      </w:r>
      <w:r>
        <w:rPr>
          <w:rtl w:val="true"/>
        </w:rPr>
        <w:t xml:space="preserve">, </w:t>
      </w:r>
      <w:r>
        <w:rPr>
          <w:rtl w:val="true"/>
        </w:rPr>
        <w:t>בייחוד אם המעשה גורם לפגיעה פיזית</w:t>
      </w:r>
      <w:r>
        <w:rPr>
          <w:rtl w:val="true"/>
        </w:rPr>
        <w:t xml:space="preserve">, </w:t>
      </w:r>
      <w:r>
        <w:rPr>
          <w:rtl w:val="true"/>
        </w:rPr>
        <w:t xml:space="preserve">ובמקרים אלה יש ליתן משקל בכורה לאינטרס הציבורי ולשיקולי הגמול וההרתעה ולהעדיפם על פני הנסיבות האישיות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5753/04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רייכמן</w:t>
      </w:r>
      <w:r>
        <w:rPr>
          <w:rFonts w:cs="Times New Roman" w:ascii="Times New Roman" w:hAnsi="Times New Roman"/>
          <w:szCs w:val="24"/>
          <w:rtl w:val="true"/>
          <w:lang w:eastAsia="en-US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 xml:space="preserve">על </w:t>
      </w:r>
      <w:r>
        <w:rPr/>
        <w:t>2005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1224</w:t>
      </w:r>
      <w:r>
        <w:rPr>
          <w:rtl w:val="true"/>
        </w:rPr>
        <w:t xml:space="preserve">; </w:t>
      </w:r>
      <w:hyperlink r:id="rId2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6493/05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מוסא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 xml:space="preserve">על </w:t>
      </w:r>
      <w:r>
        <w:rPr/>
        <w:t>2006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2809</w:t>
      </w:r>
      <w:r>
        <w:rPr>
          <w:rtl w:val="true"/>
        </w:rPr>
        <w:t xml:space="preserve">; </w:t>
      </w:r>
      <w:hyperlink r:id="rId2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3924/05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צאגיה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 xml:space="preserve">על </w:t>
      </w:r>
      <w:r>
        <w:rPr/>
        <w:t>2006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2854</w:t>
      </w:r>
      <w:r>
        <w:rPr>
          <w:rtl w:val="true"/>
        </w:rPr>
        <w:t xml:space="preserve">, </w:t>
      </w:r>
      <w:r>
        <w:rPr/>
        <w:t>2855</w:t>
      </w:r>
      <w:r>
        <w:rPr>
          <w:rtl w:val="true"/>
        </w:rPr>
        <w:t xml:space="preserve"> </w:t>
      </w:r>
      <w:r>
        <w:rPr>
          <w:rtl w:val="true"/>
        </w:rPr>
        <w:t>בפסקה ה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)). </w:t>
      </w:r>
    </w:p>
    <w:p>
      <w:pPr>
        <w:pStyle w:val="Normal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Style14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הצדדים הציגו לעיוני פסיקה מגוונת לעניין רמת הענישה הראויה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 xml:space="preserve">המקרה דנא דומה בחומרתו למקרה נשוא </w:t>
      </w:r>
      <w:hyperlink r:id="rId2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8498/07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 xml:space="preserve">ל בעניין </w:t>
      </w:r>
      <w:r>
        <w:rPr>
          <w:b/>
          <w:b/>
          <w:bCs/>
          <w:rtl w:val="true"/>
        </w:rPr>
        <w:t>רג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בי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שאליו הפנה כאמור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 xml:space="preserve">שבו אושר עונש מאסר בפועל בן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 שהוטל על נאשם בעל עבר פלילי שהורשע בעבירות של חבלה בכוונה מחמירה</w:t>
      </w:r>
      <w:r>
        <w:rPr>
          <w:rtl w:val="true"/>
        </w:rPr>
        <w:t xml:space="preserve">, </w:t>
      </w:r>
      <w:r>
        <w:rPr>
          <w:rtl w:val="true"/>
        </w:rPr>
        <w:t>החזקת נשק</w:t>
      </w:r>
      <w:r>
        <w:rPr>
          <w:rtl w:val="true"/>
        </w:rPr>
        <w:t xml:space="preserve">, </w:t>
      </w:r>
      <w:r>
        <w:rPr>
          <w:rtl w:val="true"/>
        </w:rPr>
        <w:t>תקיפה ופציעה בנסיבות מחמירות</w:t>
      </w:r>
      <w:r>
        <w:rPr>
          <w:rtl w:val="true"/>
        </w:rPr>
        <w:t xml:space="preserve">; </w:t>
      </w:r>
      <w:r>
        <w:rPr>
          <w:rtl w:val="true"/>
        </w:rPr>
        <w:t xml:space="preserve">וכן דומה הוא למקרה נשוא </w:t>
      </w:r>
      <w:hyperlink r:id="rId29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מחוזי ב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ש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8161/05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בן עודה אבו ענאם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 xml:space="preserve">מח </w:t>
      </w:r>
      <w:r>
        <w:rPr/>
        <w:t>2006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2332</w:t>
      </w:r>
      <w:r>
        <w:rPr>
          <w:rtl w:val="true"/>
        </w:rPr>
        <w:t xml:space="preserve"> , </w:t>
      </w:r>
      <w:r>
        <w:rPr/>
        <w:t>2334</w:t>
      </w:r>
      <w:r>
        <w:rPr>
          <w:rtl w:val="true"/>
        </w:rPr>
        <w:t xml:space="preserve">, </w:t>
      </w:r>
      <w:r>
        <w:rPr>
          <w:rtl w:val="true"/>
        </w:rPr>
        <w:t xml:space="preserve">שבו נגזרו על צעיר בעל עבר פלילי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 מאסר בפועל בגין עבירות של חבלה חמורה בנסיבות מחמירות</w:t>
      </w:r>
      <w:r>
        <w:rPr>
          <w:rtl w:val="true"/>
        </w:rPr>
        <w:t xml:space="preserve">, </w:t>
      </w:r>
      <w:r>
        <w:rPr>
          <w:rtl w:val="true"/>
        </w:rPr>
        <w:t>איומים ועבירות נשק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לזכות הנאשם שקלתי את תוכן תסקיר שירות המבחן</w:t>
      </w:r>
      <w:r>
        <w:rPr>
          <w:rtl w:val="true"/>
        </w:rPr>
        <w:t xml:space="preserve">; </w:t>
      </w:r>
      <w:r>
        <w:rPr>
          <w:rtl w:val="true"/>
        </w:rPr>
        <w:t>את נסיבותיו האישיות והמשפחתיות</w:t>
      </w:r>
      <w:r>
        <w:rPr>
          <w:rtl w:val="true"/>
        </w:rPr>
        <w:t xml:space="preserve">; </w:t>
      </w:r>
      <w:r>
        <w:rPr>
          <w:rtl w:val="true"/>
        </w:rPr>
        <w:t>את גילו הצעיר</w:t>
      </w:r>
      <w:r>
        <w:rPr>
          <w:rtl w:val="true"/>
        </w:rPr>
        <w:t xml:space="preserve">; </w:t>
      </w:r>
      <w:r>
        <w:rPr>
          <w:rtl w:val="true"/>
        </w:rPr>
        <w:t>את עברו הנקי</w:t>
      </w:r>
      <w:r>
        <w:rPr>
          <w:rtl w:val="true"/>
        </w:rPr>
        <w:t xml:space="preserve">; </w:t>
      </w:r>
      <w:r>
        <w:rPr>
          <w:rtl w:val="true"/>
        </w:rPr>
        <w:t>את הודאתו</w:t>
      </w:r>
      <w:r>
        <w:rPr>
          <w:rtl w:val="true"/>
        </w:rPr>
        <w:t xml:space="preserve">; </w:t>
      </w:r>
      <w:r>
        <w:rPr>
          <w:rtl w:val="true"/>
        </w:rPr>
        <w:t>וכן את העובדה כי מדובר במעין פרשה אחת ובמעשים שארעו בעיקרם במהלך לילה אחד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החלטתי שלא למצות את הדין עם הנאשם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לאחר שנתתי דעתי לכל השיקולים לחומרא ולקולא</w:t>
      </w:r>
      <w:r>
        <w:rPr>
          <w:rtl w:val="true"/>
        </w:rPr>
        <w:t xml:space="preserve">, </w:t>
      </w: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ולאיזון הראוי ביניהם</w:t>
      </w:r>
      <w:r>
        <w:rPr>
          <w:rtl w:val="true"/>
        </w:rPr>
        <w:t xml:space="preserve">, </w:t>
      </w:r>
      <w:r>
        <w:rPr>
          <w:rtl w:val="true"/>
        </w:rPr>
        <w:t>החלטתי להטיל על הנאשם את העונשים שלהלן</w:t>
      </w:r>
      <w:r>
        <w:rPr>
          <w:rtl w:val="true"/>
        </w:rPr>
        <w:t xml:space="preserve">: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שמניינם החל מיום מעצרו </w:t>
      </w:r>
      <w:r>
        <w:rPr/>
        <w:t>31/1/2010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מותנים</w:t>
      </w:r>
      <w:r>
        <w:rPr>
          <w:rtl w:val="true"/>
        </w:rPr>
        <w:t xml:space="preserve">, </w:t>
      </w:r>
      <w:r>
        <w:rPr>
          <w:rtl w:val="true"/>
        </w:rPr>
        <w:t xml:space="preserve">והתנאי הוא שלא יעבור עבירת אלימות מסוג פשע במשך     </w:t>
      </w:r>
      <w:r>
        <w:rPr/>
        <w:t>3</w:t>
      </w:r>
      <w:r>
        <w:rPr>
          <w:rtl w:val="true"/>
        </w:rPr>
        <w:t xml:space="preserve">  </w:t>
      </w:r>
      <w:r>
        <w:rPr>
          <w:rtl w:val="true"/>
        </w:rPr>
        <w:t>שנים מיום שחרורו ממאסר</w:t>
      </w:r>
      <w:r>
        <w:rPr>
          <w:rtl w:val="true"/>
        </w:rPr>
        <w:t>.</w:t>
      </w:r>
    </w:p>
    <w:p>
      <w:pPr>
        <w:pStyle w:val="Style14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 מאסר מותנים</w:t>
      </w:r>
      <w:r>
        <w:rPr>
          <w:rtl w:val="true"/>
        </w:rPr>
        <w:t xml:space="preserve">, </w:t>
      </w:r>
      <w:r>
        <w:rPr>
          <w:rtl w:val="true"/>
        </w:rPr>
        <w:t>והתנאי הוא שלא יעבור עבירת איומים</w:t>
      </w:r>
      <w:r>
        <w:rPr>
          <w:rtl w:val="true"/>
        </w:rPr>
        <w:t xml:space="preserve">, </w:t>
      </w:r>
      <w:r>
        <w:rPr>
          <w:rtl w:val="true"/>
        </w:rPr>
        <w:t xml:space="preserve">עבירת נשק או הטרדת עד 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ממאסר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  <w:tab/>
      </w:r>
      <w:r>
        <w:rPr>
          <w:rtl w:val="true"/>
        </w:rPr>
        <w:t xml:space="preserve">פסילה מלקבל או להחזיק רישיון נהיגה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סיום המאסר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 xml:space="preserve">קנס בסך </w:t>
      </w:r>
      <w:r>
        <w:rPr/>
        <w:t>2,000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שישולם בתוך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 xml:space="preserve">ימים מהיום או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 xml:space="preserve">כמו כן הנני מחייב את הנאשם בתשלום פיצוי כספי למתלונן כמאל אבו סדרה בסך </w:t>
      </w:r>
      <w:r>
        <w:rPr/>
        <w:t>6,000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 xml:space="preserve">שישולם בתוך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 מהיום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מרדכי לוי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rFonts w:cs="Arial" w:ascii="Arial" w:hAnsi="Arial"/>
          <w:color w:val="FFFFFF"/>
          <w:sz w:val="2"/>
          <w:szCs w:val="2"/>
        </w:rPr>
        <w:t>5467831354678313</w:t>
      </w:r>
      <w:r>
        <w:rPr>
          <w:rFonts w:ascii="Arial" w:hAnsi="Arial" w:cs="Arial"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sz w:val="26"/>
          <w:szCs w:val="26"/>
          <w:rtl w:val="true"/>
        </w:rPr>
        <w:t xml:space="preserve">,  </w:t>
      </w:r>
      <w:r>
        <w:rPr>
          <w:rFonts w:ascii="Arial" w:hAnsi="Arial" w:cs="Arial"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>שבט תשע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ינואר </w:t>
      </w:r>
      <w:r>
        <w:rPr>
          <w:rFonts w:cs="Arial" w:ascii="Arial" w:hAnsi="Arial"/>
          <w:sz w:val="26"/>
          <w:szCs w:val="26"/>
        </w:rPr>
        <w:t>2011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tbl>
      <w:tblPr>
        <w:tblpPr w:vertAnchor="text" w:horzAnchor="page" w:leftFromText="180" w:rightFromText="180" w:tblpX="1277" w:tblpY="1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7"/>
      </w:tblGrid>
      <w:tr>
        <w:trPr/>
        <w:tc>
          <w:tcPr>
            <w:tcW w:w="251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>
          <w:trHeight w:val="427" w:hRule="atLeast"/>
        </w:trPr>
        <w:tc>
          <w:tcPr>
            <w:tcW w:w="251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/>
                <w:bCs/>
                <w:sz w:val="26"/>
                <w:sz w:val="26"/>
                <w:szCs w:val="26"/>
                <w:rtl w:val="true"/>
              </w:rPr>
              <w:t>מרדכי לוי</w:t>
            </w:r>
            <w:r>
              <w:rPr>
                <w:rFonts w:cs="Courier New" w:ascii="Courier New" w:hAnsi="Courier New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30"/>
      <w:footerReference w:type="default" r:id="rId3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12237-02-10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עאדל בחירי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Style13">
    <w:name w:val="תבנית רגיל תו"/>
    <w:qFormat/>
    <w:rPr>
      <w:rFonts w:ascii="Times" w:hAnsi="Times" w:cs="David"/>
      <w:sz w:val="24"/>
      <w:szCs w:val="26"/>
      <w:lang w:val="en-US" w:bidi="he-IL"/>
    </w:rPr>
  </w:style>
  <w:style w:type="character" w:styleId="normal-h">
    <w:name w:val="normal-h"/>
    <w:basedOn w:val="DefaultParagraphFont"/>
    <w:qFormat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תבנית רגיל"/>
    <w:basedOn w:val="Normal"/>
    <w:qFormat/>
    <w:pPr>
      <w:spacing w:lineRule="auto" w:line="360"/>
      <w:jc w:val="both"/>
    </w:pPr>
    <w:rPr>
      <w:rFonts w:ascii="Times" w:hAnsi="Times" w:cs="Times"/>
      <w:szCs w:val="26"/>
    </w:rPr>
  </w:style>
  <w:style w:type="paragraph" w:styleId="2">
    <w:name w:val="תבנית כותרת 2"/>
    <w:basedOn w:val="Heading2"/>
    <w:next w:val="Style14"/>
    <w:qFormat/>
    <w:pPr>
      <w:numPr>
        <w:ilvl w:val="0"/>
        <w:numId w:val="0"/>
      </w:numPr>
      <w:ind w:firstLine="720" w:start="0" w:end="0"/>
      <w:outlineLvl w:val="9"/>
    </w:pPr>
    <w:rPr>
      <w:rFonts w:cs="Miriam"/>
      <w:b w:val="false"/>
      <w:bCs w:val="false"/>
      <w:i w:val="false"/>
      <w:iCs w:val="false"/>
      <w:szCs w:val="24"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249" TargetMode="External"/><Relationship Id="rId7" Type="http://schemas.openxmlformats.org/officeDocument/2006/relationships/hyperlink" Target="http://www.nevo.co.il/law/70301/329.a.1" TargetMode="External"/><Relationship Id="rId8" Type="http://schemas.openxmlformats.org/officeDocument/2006/relationships/hyperlink" Target="http://www.nevo.co.il/law/5227" TargetMode="External"/><Relationship Id="rId9" Type="http://schemas.openxmlformats.org/officeDocument/2006/relationships/hyperlink" Target="http://www.nevo.co.il/law/5227/10" TargetMode="External"/><Relationship Id="rId10" Type="http://schemas.openxmlformats.org/officeDocument/2006/relationships/hyperlink" Target="http://www.nevo.co.il/law/74501" TargetMode="External"/><Relationship Id="rId11" Type="http://schemas.openxmlformats.org/officeDocument/2006/relationships/hyperlink" Target="http://www.nevo.co.il/law/74501/2.a" TargetMode="External"/><Relationship Id="rId12" Type="http://schemas.openxmlformats.org/officeDocument/2006/relationships/hyperlink" Target="http://www.nevo.co.il/law/70301/329.a.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92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249" TargetMode="External"/><Relationship Id="rId18" Type="http://schemas.openxmlformats.org/officeDocument/2006/relationships/hyperlink" Target="http://www.nevo.co.il/law/5227/10" TargetMode="External"/><Relationship Id="rId19" Type="http://schemas.openxmlformats.org/officeDocument/2006/relationships/hyperlink" Target="http://www.nevo.co.il/law/5227" TargetMode="External"/><Relationship Id="rId20" Type="http://schemas.openxmlformats.org/officeDocument/2006/relationships/hyperlink" Target="http://www.nevo.co.il/law/74501/2.a" TargetMode="External"/><Relationship Id="rId21" Type="http://schemas.openxmlformats.org/officeDocument/2006/relationships/hyperlink" Target="http://www.nevo.co.il/law/74501" TargetMode="External"/><Relationship Id="rId22" Type="http://schemas.openxmlformats.org/officeDocument/2006/relationships/hyperlink" Target="http://www.nevo.co.il/case/5765900" TargetMode="External"/><Relationship Id="rId23" Type="http://schemas.openxmlformats.org/officeDocument/2006/relationships/hyperlink" Target="http://www.nevo.co.il/case/2538651" TargetMode="External"/><Relationship Id="rId24" Type="http://schemas.openxmlformats.org/officeDocument/2006/relationships/hyperlink" Target="http://www.nevo.co.il/case/5847838" TargetMode="External"/><Relationship Id="rId25" Type="http://schemas.openxmlformats.org/officeDocument/2006/relationships/hyperlink" Target="http://www.nevo.co.il/case/6030667" TargetMode="External"/><Relationship Id="rId26" Type="http://schemas.openxmlformats.org/officeDocument/2006/relationships/hyperlink" Target="http://www.nevo.co.il/case/6068562" TargetMode="External"/><Relationship Id="rId27" Type="http://schemas.openxmlformats.org/officeDocument/2006/relationships/hyperlink" Target="http://www.nevo.co.il/case/5924151" TargetMode="External"/><Relationship Id="rId28" Type="http://schemas.openxmlformats.org/officeDocument/2006/relationships/hyperlink" Target="http://www.nevo.co.il/case/5847838" TargetMode="External"/><Relationship Id="rId29" Type="http://schemas.openxmlformats.org/officeDocument/2006/relationships/hyperlink" Target="http://www.nevo.co.il/case/450548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2016-05-23T21:11:00Z</dcterms:created>
  <dc:creator> </dc:creator>
  <dc:description/>
  <cp:keywords/>
  <dc:language>en-IL</dc:language>
  <cp:lastModifiedBy>yafit</cp:lastModifiedBy>
  <dcterms:modified xsi:type="dcterms:W3CDTF">2016-05-23T21:11:00Z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עאדל בחירי</vt:lpwstr>
  </property>
  <property fmtid="{D5CDD505-2E9C-101B-9397-08002B2CF9AE}" pid="4" name="CASESLISTTMP1">
    <vt:lpwstr>5765900;2538651;5847838:2;6030667;6068562;5924151;450548</vt:lpwstr>
  </property>
  <property fmtid="{D5CDD505-2E9C-101B-9397-08002B2CF9AE}" pid="5" name="CITY">
    <vt:lpwstr>ב"ש</vt:lpwstr>
  </property>
  <property fmtid="{D5CDD505-2E9C-101B-9397-08002B2CF9AE}" pid="6" name="DATE">
    <vt:lpwstr>20110112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מרדכי לוי</vt:lpwstr>
  </property>
  <property fmtid="{D5CDD505-2E9C-101B-9397-08002B2CF9AE}" pid="10" name="LAWLISTTMP1">
    <vt:lpwstr>70301/329.a.1;192;144.a;144.b;249</vt:lpwstr>
  </property>
  <property fmtid="{D5CDD505-2E9C-101B-9397-08002B2CF9AE}" pid="11" name="LAWLISTTMP2">
    <vt:lpwstr>5227/010</vt:lpwstr>
  </property>
  <property fmtid="{D5CDD505-2E9C-101B-9397-08002B2CF9AE}" pid="12" name="LAWLISTTMP3">
    <vt:lpwstr>74501/002.a</vt:lpwstr>
  </property>
  <property fmtid="{D5CDD505-2E9C-101B-9397-08002B2CF9AE}" pid="13" name="LAWYER">
    <vt:lpwstr/>
  </property>
  <property fmtid="{D5CDD505-2E9C-101B-9397-08002B2CF9AE}" pid="14" name="LINKK1">
    <vt:lpwstr/>
  </property>
  <property fmtid="{D5CDD505-2E9C-101B-9397-08002B2CF9AE}" pid="15" name="LINKK10">
    <vt:lpwstr/>
  </property>
  <property fmtid="{D5CDD505-2E9C-101B-9397-08002B2CF9AE}" pid="16" name="LINKK11">
    <vt:lpwstr/>
  </property>
  <property fmtid="{D5CDD505-2E9C-101B-9397-08002B2CF9AE}" pid="17" name="LINKK12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LINKK6">
    <vt:lpwstr/>
  </property>
  <property fmtid="{D5CDD505-2E9C-101B-9397-08002B2CF9AE}" pid="23" name="LINKK7">
    <vt:lpwstr/>
  </property>
  <property fmtid="{D5CDD505-2E9C-101B-9397-08002B2CF9AE}" pid="24" name="LINKK8">
    <vt:lpwstr/>
  </property>
  <property fmtid="{D5CDD505-2E9C-101B-9397-08002B2CF9AE}" pid="25" name="LINKK9">
    <vt:lpwstr/>
  </property>
  <property fmtid="{D5CDD505-2E9C-101B-9397-08002B2CF9AE}" pid="26" name="NEWPARTA">
    <vt:lpwstr>12237</vt:lpwstr>
  </property>
  <property fmtid="{D5CDD505-2E9C-101B-9397-08002B2CF9AE}" pid="27" name="NEWPARTB">
    <vt:lpwstr>02</vt:lpwstr>
  </property>
  <property fmtid="{D5CDD505-2E9C-101B-9397-08002B2CF9AE}" pid="28" name="NEWPARTC">
    <vt:lpwstr>10</vt:lpwstr>
  </property>
  <property fmtid="{D5CDD505-2E9C-101B-9397-08002B2CF9AE}" pid="29" name="NEWPROC">
    <vt:lpwstr>תפ</vt:lpwstr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/>
  </property>
  <property fmtid="{D5CDD505-2E9C-101B-9397-08002B2CF9AE}" pid="34" name="PROCNUM">
    <vt:lpwstr/>
  </property>
  <property fmtid="{D5CDD505-2E9C-101B-9397-08002B2CF9AE}" pid="35" name="PROCYEAR">
    <vt:lpwstr/>
  </property>
  <property fmtid="{D5CDD505-2E9C-101B-9397-08002B2CF9AE}" pid="36" name="PSAKDIN">
    <vt:lpwstr>גזר-דין</vt:lpwstr>
  </property>
  <property fmtid="{D5CDD505-2E9C-101B-9397-08002B2CF9AE}" pid="37" name="RemarkFileName">
    <vt:lpwstr>mechozi me 10 02 12237 802 htm</vt:lpwstr>
  </property>
  <property fmtid="{D5CDD505-2E9C-101B-9397-08002B2CF9AE}" pid="38" name="TYPE">
    <vt:lpwstr>2</vt:lpwstr>
  </property>
  <property fmtid="{D5CDD505-2E9C-101B-9397-08002B2CF9AE}" pid="39" name="TYPE_ABS_DATE">
    <vt:lpwstr>390020110112</vt:lpwstr>
  </property>
  <property fmtid="{D5CDD505-2E9C-101B-9397-08002B2CF9AE}" pid="40" name="TYPE_N_DATE">
    <vt:lpwstr>39020110112</vt:lpwstr>
  </property>
  <property fmtid="{D5CDD505-2E9C-101B-9397-08002B2CF9AE}" pid="41" name="VOLUME">
    <vt:lpwstr/>
  </property>
  <property fmtid="{D5CDD505-2E9C-101B-9397-08002B2CF9AE}" pid="42" name="WORDNUMPAGES">
    <vt:lpwstr>5</vt:lpwstr>
  </property>
</Properties>
</file>