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12251-11-11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יוסף בן</w:t>
            </w:r>
            <w:r>
              <w:rPr>
                <w:rFonts w:eastAsia="Times New Roman" w:cs="Times New Roman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rtl w:val="true"/>
              </w:rPr>
              <w:t>חמו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מאשימה 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נאשמים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ח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>ליל אחמד – נידון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עמאר טאטור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נידון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עאוני אבו –חמד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בשם</w:t>
      </w:r>
      <w:bookmarkEnd w:id="3"/>
      <w:r>
        <w:rPr>
          <w:u w:val="none"/>
          <w:rtl w:val="true"/>
        </w:rPr>
        <w:t xml:space="preserve"> המאשימה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אקרמן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הנאשם </w:t>
      </w:r>
      <w:r>
        <w:rPr>
          <w:u w:val="none"/>
        </w:rPr>
        <w:t>3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איאד חליחל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הנאשם </w:t>
      </w:r>
      <w:r>
        <w:rPr>
          <w:u w:val="none"/>
        </w:rPr>
        <w:t>3</w:t>
      </w:r>
      <w:r>
        <w:rPr>
          <w:u w:val="none"/>
          <w:rtl w:val="true"/>
        </w:rPr>
        <w:t xml:space="preserve"> - </w:t>
      </w:r>
      <w:r>
        <w:rPr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 xml:space="preserve">הנאשם הודה במסגרת הסדר טיעון בכתב אישום מתוקן על פי עובדות כתב האישום המתוקן המיוחס לנאשם זה יחד עם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הנאשם כאן החזיק בביתו שלא כדין אקדח במשך מספר שנים</w:t>
      </w:r>
      <w:r>
        <w:rPr>
          <w:rtl w:val="true"/>
        </w:rPr>
        <w:t xml:space="preserve">. </w:t>
      </w:r>
      <w:r>
        <w:rPr>
          <w:rtl w:val="true"/>
        </w:rPr>
        <w:t xml:space="preserve">בפגישה שהייתה לנאשם עם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ביקש נאשם זה להעביר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האקדח למשמורת בשל חששו מחיפוש שתערוך המשטרה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נעתר לבקשה וקיבל לידיו את האקדח וכעבור מספר ימים החזיר אותו לנאשם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הסדר הטיעון הייתה הסכמה גם לעניין הטיעונים 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הוגש תסקיר בעניינו של הנאשם כאן כמו גם באשר לנאשמים האחרים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תוכן התסקיר מפורט בגזר הדין שניתן ביחס לשני הנאשמים האחרים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13.9.12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במסגרת ההחלטה שם קבעתי שעניינו של נאשם זה שונה מעניינם של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ומצדיק הבחנה מסוימת ביניהם מהנימוקים שפורטו 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נסיבותיו המיוחדות ויוצאות הדופן של נאשם זה הוריתי על הזמנת חוות דעת של הממונה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הממונה הגיש חוות דעת ולפיה</w:t>
      </w:r>
      <w:r>
        <w:rPr>
          <w:rtl w:val="true"/>
        </w:rPr>
        <w:t xml:space="preserve">, </w:t>
      </w:r>
      <w:r>
        <w:rPr>
          <w:rtl w:val="true"/>
        </w:rPr>
        <w:t>הנאשם נמצא מתאים לביצוע עבודות שרות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ששמעתי את טענות הצדדים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שיש לגזור על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עונש מאסר שניתן לרצותו בעבודות שרות</w:t>
      </w:r>
      <w:r>
        <w:rPr>
          <w:rtl w:val="true"/>
        </w:rPr>
        <w:t xml:space="preserve">, </w:t>
      </w:r>
      <w:r>
        <w:rPr>
          <w:rtl w:val="true"/>
        </w:rPr>
        <w:t>אך על מנת למזער את השוני בין נאשם זה לבין הנאשמים האחרים למרות האבחנה ביניהם אני סבור שעל הנאשם לרצות את מלוא התקופה שניתן לרצותה במסגרת עבודות השרות</w:t>
      </w:r>
      <w:r>
        <w:rPr>
          <w:rtl w:val="true"/>
        </w:rPr>
        <w:t xml:space="preserve">, </w:t>
      </w:r>
      <w:r>
        <w:rPr>
          <w:rtl w:val="true"/>
        </w:rPr>
        <w:t>דהיינו שישה חודשי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 לכך</w:t>
      </w:r>
      <w:r>
        <w:rPr>
          <w:rtl w:val="true"/>
        </w:rPr>
        <w:t xml:space="preserve">, </w:t>
      </w:r>
      <w:r>
        <w:rPr>
          <w:rtl w:val="true"/>
        </w:rPr>
        <w:t xml:space="preserve">אני גוזר על הנאשם מאסר על תנאי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למשך שנתיים שלא יעבור עבירה בה הורשע בכתב 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אני גוזר על הנאשם קנס בסך </w:t>
      </w:r>
      <w:r>
        <w:rPr/>
        <w:t>5,000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 מאסר תמורתם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החל מיום </w:t>
      </w:r>
      <w:r>
        <w:rPr/>
        <w:t>1.1.13</w:t>
      </w:r>
      <w:r>
        <w:rPr>
          <w:rtl w:val="true"/>
        </w:rPr>
        <w:t xml:space="preserve"> </w:t>
      </w:r>
      <w:r>
        <w:rPr>
          <w:rtl w:val="true"/>
        </w:rPr>
        <w:t xml:space="preserve">ובכל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 שלאחריו</w:t>
      </w:r>
      <w:r>
        <w:rPr>
          <w:rtl w:val="true"/>
        </w:rPr>
        <w:t xml:space="preserve">. </w:t>
      </w:r>
      <w:r>
        <w:rPr>
          <w:rtl w:val="true"/>
        </w:rPr>
        <w:t>אי תשלום אחד השיעורים במועדו יעמיד את מלוא הקנס לפירעון 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הנאשם יתייצב בפני הממונה על עבודות השרות במתחם כלא חרמון מפקדת מחוז צפון ביום </w:t>
      </w:r>
      <w:r>
        <w:rPr>
          <w:b/>
          <w:bCs/>
        </w:rPr>
        <w:t>3.12.12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בשעה </w:t>
      </w:r>
      <w:r>
        <w:rPr>
          <w:b/>
          <w:bCs/>
        </w:rPr>
        <w:t>08:00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 xml:space="preserve">זכות ערעור לבית משפט העליון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המזכירות תמציא העתק לממונה על עבודות השרות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05/11/2012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  <w:bookmarkStart w:id="11" w:name="_GoBack"/>
      <w:bookmarkStart w:id="12" w:name="_GoBack"/>
      <w:bookmarkEnd w:id="12"/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יוסף בן חמו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יוסף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בן</w:t>
            </w:r>
            <w:r>
              <w:rPr>
                <w:rFonts w:eastAsia="Times New Roman" w:cs="Times New Roman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rtl w:val="true"/>
              </w:rPr>
              <w:t>חמו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12251-11-11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ליל אחמד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2012-11-11T12:28:00Z</dcterms:created>
  <dc:creator> </dc:creator>
  <dc:description/>
  <cp:keywords/>
  <dc:language>en-IL</dc:language>
  <cp:lastModifiedBy>yafit</cp:lastModifiedBy>
  <dcterms:modified xsi:type="dcterms:W3CDTF">2012-11-11T12:28:00Z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ח'ליל אחמד;עמאר טאטור;עאוני אבו חמד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נצ'</vt:lpwstr>
  </property>
  <property fmtid="{D5CDD505-2E9C-101B-9397-08002B2CF9AE}" pid="9" name="DATE">
    <vt:lpwstr>20121105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יוסף בן חמו</vt:lpwstr>
  </property>
  <property fmtid="{D5CDD505-2E9C-101B-9397-08002B2CF9AE}" pid="13" name="LAWYER">
    <vt:lpwstr>אקרמן;איאד חליחל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12251</vt:lpwstr>
  </property>
  <property fmtid="{D5CDD505-2E9C-101B-9397-08002B2CF9AE}" pid="20" name="NEWPARTB">
    <vt:lpwstr>11</vt:lpwstr>
  </property>
  <property fmtid="{D5CDD505-2E9C-101B-9397-08002B2CF9AE}" pid="21" name="NEWPARTC">
    <vt:lpwstr>11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390020121105</vt:lpwstr>
  </property>
  <property fmtid="{D5CDD505-2E9C-101B-9397-08002B2CF9AE}" pid="32" name="TYPE_N_DATE">
    <vt:lpwstr>39020121105</vt:lpwstr>
  </property>
  <property fmtid="{D5CDD505-2E9C-101B-9397-08002B2CF9AE}" pid="33" name="VOLUME">
    <vt:lpwstr/>
  </property>
  <property fmtid="{D5CDD505-2E9C-101B-9397-08002B2CF9AE}" pid="34" name="WORDNUMPAGES">
    <vt:lpwstr>2</vt:lpwstr>
  </property>
</Properties>
</file>