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96"/>
        <w:gridCol w:w="709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77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12325-09-15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טולידנו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14966-09-15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ארביב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טולידנו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ארביב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tl w:val="true"/>
              </w:rPr>
              <w:br/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אשתר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אופק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ארביב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שני בן גיגי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גיא מימון ועו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שי לוי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מיכאל סיבוני ועו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רותם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אלעד אלימלך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בעצמם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  <w:rtl w:val="true"/>
              </w:rPr>
              <w:t>&lt;</w:t>
            </w:r>
            <w:r>
              <w:rPr>
                <w:sz w:val="6"/>
                <w:szCs w:val="6"/>
              </w:rPr>
              <w:t>#1#</w:t>
            </w:r>
            <w:r>
              <w:rPr>
                <w:sz w:val="6"/>
                <w:szCs w:val="6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stJudge"/>
      <w:bookmarkStart w:id="5" w:name="LawTable"/>
      <w:bookmarkStart w:id="6" w:name="LastJudg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סדרי דין לענין חילוט רכוש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0"/>
                <w:szCs w:val="40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eastAsia="Arial" w:cs="Arial" w:ascii="Arial" w:hAnsi="Arial"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לגבי נאשמים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10" w:name="ABSTRACT_START"/>
      <w:bookmarkEnd w:id="10"/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12325-09-15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טולידנו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14966-09-15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11" w:name="ABSTRACT_END"/>
      <w:bookmarkEnd w:id="11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מתוקנים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הראשון</w:t>
      </w:r>
      <w:r>
        <w:rPr>
          <w:rFonts w:cs="David" w:ascii="David" w:hAnsi="David"/>
          <w:rtl w:val="true"/>
        </w:rPr>
        <w:t>")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מא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השני</w:t>
      </w:r>
      <w:r>
        <w:rPr>
          <w:rFonts w:cs="David" w:ascii="David" w:hAnsi="David"/>
          <w:rtl w:val="true"/>
        </w:rPr>
        <w:t>")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מתן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29/5/16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30/5/16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ארבעת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המייחס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והשלכתם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להדלקתו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מרסיסי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בהתאמה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פרט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הזהה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בשני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המתוקנים</w:t>
      </w:r>
      <w:r>
        <w:rPr>
          <w:rFonts w:cs="Calibri" w:ascii="Calibri" w:hAnsi="Calibri"/>
          <w:u w:val="single"/>
          <w:rtl w:val="true"/>
        </w:rPr>
        <w:t xml:space="preserve">), </w:t>
      </w:r>
      <w:r>
        <w:rPr>
          <w:rFonts w:ascii="Calibri" w:hAnsi="Calibri" w:cs="Calibri"/>
          <w:u w:val="single"/>
          <w:rtl w:val="true"/>
        </w:rPr>
        <w:t>בו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הורשעו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כאמור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כל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ארבעת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עדן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אלי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אופק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ascii="Calibri" w:hAnsi="Calibri" w:cs="Calibri"/>
          <w:b/>
          <w:b/>
          <w:bCs/>
          <w:u w:val="single"/>
          <w:rtl w:val="true"/>
        </w:rPr>
        <w:t>מתן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cs="Calibri" w:ascii="Calibri" w:hAnsi="Calibri"/>
          <w:u w:val="single"/>
          <w:rtl w:val="true"/>
        </w:rPr>
        <w:t>: "</w:t>
      </w:r>
      <w:r>
        <w:rPr>
          <w:rFonts w:ascii="Calibri" w:hAnsi="Calibri" w:cs="Calibri"/>
          <w:b/>
          <w:b/>
          <w:bCs/>
          <w:u w:val="single"/>
          <w:rtl w:val="true"/>
        </w:rPr>
        <w:t>ארבעת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cs="Calibri" w:ascii="Calibri" w:hAnsi="Calibri"/>
          <w:u w:val="single"/>
          <w:rtl w:val="true"/>
        </w:rPr>
        <w:t>")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תבערה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") 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הזכוכית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טואלט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התבערה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התלקח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מהתנפצות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הבקבוק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טוכוטולין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מרסיסי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הורשעו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ארבעת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קשירת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  <w:tab/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30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33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36"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+ </w:t>
      </w:r>
      <w:hyperlink r:id="rId37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המייחס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שתוכנה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עדן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שלושת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פרט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לגבי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שלושת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cs="Calibri" w:ascii="Calibri" w:hAnsi="Calibri"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6.5.15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ביוזמתו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03:40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בקבוק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הזכוכית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הזכוכית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בקבוק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התבערה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הואשמו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שלושת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והורשעו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קשירת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  <w:tab/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46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מעשי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פזיזות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ורשלנות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49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המפורטת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אותה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ביצעו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עדן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ascii="Calibri" w:hAnsi="Calibri" w:cs="Calibri"/>
          <w:b/>
          <w:b/>
          <w:bCs/>
          <w:u w:val="single"/>
          <w:rtl w:val="true"/>
        </w:rPr>
        <w:t>מתן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בצוותא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הורשעו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הסוכנים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המשטרתיים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ובכספה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LSD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בפקודה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הואשמו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עדן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ascii="Calibri" w:hAnsi="Calibri" w:cs="Calibri"/>
          <w:b/>
          <w:b/>
          <w:bCs/>
          <w:u w:val="single"/>
          <w:rtl w:val="true"/>
        </w:rPr>
        <w:t>מתן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והורשעו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52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+ 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14.8.15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בחניון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אביטבול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בפקודה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והורשע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61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 לגבי עדן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עדן 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עובדים ותוארו על ידו כדמויות טובות ומיטיבות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שבינו לבין אחיו שורר קשר חם וקרוב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עד לביצוע העבירות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תפקד עדן באופן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סיים לימודיו התיכוניים עם תעודת בגרות חלקית והשתלב במעגל התעסוקה בעבודות מזדמנות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שמירה על רצף תעסוקתי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התעתד להתגייס לצה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אך עקב מעורבותו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פטור משירות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החלטה עליה ניתן לערער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 שעדן לוקח אחריות על רוב המעשים המיוחסים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שחש חרטה בגין ביצועם ורגשות בושה ואשמה וכן הביע אמפתיה כלפי קורבן העבירות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צוין בתסקיר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שעדן התרועע עם שותפיו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נהג להשתמש בסמים מסוג קנאביס על בסיס יומיומי וכן בסמי הזיה כגון 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</w:rPr>
        <w:t>LSD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בתדירות של אחת לשבוע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ממצאיהן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דגימות שתן שמסר </w:t>
      </w:r>
      <w:r>
        <w:rPr>
          <w:rFonts w:ascii="Arial" w:hAnsi="Arial" w:cs="Arial"/>
          <w:rtl w:val="true"/>
        </w:rPr>
        <w:t>עדן</w:t>
      </w:r>
      <w:r>
        <w:rPr>
          <w:rFonts w:ascii="Arial" w:hAnsi="Arial" w:cs="Arial"/>
          <w:rtl w:val="true"/>
        </w:rPr>
        <w:t xml:space="preserve"> העידו על ניקיון מסמים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עדן הסביר את ביצוע העבירות על ידו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שבתקופה שקדמה לביצוען הוא התחבר עם משפחת ארביב והחל לצאת עימם לבילויים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שהם מרעיפים עליו כל טו</w:t>
      </w:r>
      <w:r>
        <w:rPr>
          <w:rFonts w:ascii="Arial" w:hAnsi="Arial" w:cs="Arial"/>
          <w:rtl w:val="true"/>
        </w:rPr>
        <w:t>ּ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מבלי לבקש דבר לעצמם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רק בהמשך החלו להגיע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בקשות לעזרה חברית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מצדם והוא התבקש לסייע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סחיטת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הטלת פחד ואימה על</w:t>
      </w:r>
      <w:r>
        <w:rPr>
          <w:rFonts w:ascii="Arial" w:hAnsi="Arial" w:cs="Arial"/>
          <w:rtl w:val="true"/>
        </w:rPr>
        <w:t xml:space="preserve">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זריקת בקבוקי תבערה ו</w:t>
      </w:r>
      <w:r>
        <w:rPr>
          <w:rFonts w:ascii="Arial" w:hAnsi="Arial" w:cs="Arial"/>
          <w:rtl w:val="true"/>
        </w:rPr>
        <w:t>כן לסייע ב</w:t>
      </w:r>
      <w:r>
        <w:rPr>
          <w:rFonts w:ascii="Arial" w:hAnsi="Arial" w:cs="Arial"/>
          <w:rtl w:val="true"/>
        </w:rPr>
        <w:t>סחר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עדן סיפר שהוא </w:t>
      </w:r>
      <w:r>
        <w:rPr>
          <w:rFonts w:ascii="Arial" w:hAnsi="Arial" w:cs="Arial"/>
          <w:rtl w:val="true"/>
        </w:rPr>
        <w:t xml:space="preserve">הרגיש שהוא חייב להם על כל הטוב שהרעיפו עליו וכן שהוא לא רצה </w:t>
      </w:r>
      <w:r>
        <w:rPr>
          <w:rFonts w:ascii="Arial" w:hAnsi="Arial" w:cs="Arial"/>
          <w:rtl w:val="true"/>
        </w:rPr>
        <w:t>להיתפס על ידם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בוגד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עדן שוחרר למעצר בית והוטל עליו צו פיקוח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שולב בקבוצה טיפולית לעצורי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לטיפול באופן קבוע ורציף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בעולמו הרגשי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והפגין יכולת גבוהה להכיר בפסול שבהתנהגותו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 מנזקקות טיפולית גבוהה וכן מרמת סיכון נמוכה להישנות עבירות דומות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עדן הביע רצון להשתלב בתהליך טיפולי והביע נכונות להשתלב בתכנית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צדק מאחה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הביאה בחשבון שלעדן ערכים חברתיים תקינים ונורמטיביים ושהוא ביצע את העבירות ממניעים רגשיים ולא מתוך הזדהות עם נורמות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המליצה קצינת המבחן להעמיד את עדן במבחן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ישולב בתהליך טיפולי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בנוסף המליצה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על עדן מאסר שירוצה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 לגבי אופק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אופק 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ולו אח בכור שמשרת בצבא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פרודים מזה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 ומצויים בהליכי גירושין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אופק עם אביו בפרדס חנה ועובד עמו בחברת אמבולנסים שבבעלות האב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אין לו הרשעות קודמות והוא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מצוי בסטטוס של פטור משירות צבאי ויכול לערער על החלטה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קצינת המבחן ציינה כי </w:t>
      </w:r>
      <w:r>
        <w:rPr>
          <w:rFonts w:ascii="Arial" w:hAnsi="Arial" w:cs="Arial"/>
          <w:rtl w:val="true"/>
        </w:rPr>
        <w:t>אופק</w:t>
      </w:r>
      <w:r>
        <w:rPr>
          <w:rFonts w:ascii="Arial" w:hAnsi="Arial" w:cs="Arial"/>
          <w:rtl w:val="true"/>
        </w:rPr>
        <w:t xml:space="preserve"> גדל בסביבה נורמטיבית ובמערכת משפחתית תקינה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סיפוק צרכיו החומריים והרגשיים ותפקד באופן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התקופה שקדמה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היו עסוקים בהליכי הגירושין והוא הרגיש בדידות והתחבר לחברה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הרגיש שייכות ונוכח קווי אישיותו הילדותיים והבלתי בשלים החל לנהוג באופן חסר גבולות וחסר אחריות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עוד צוין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זו התנסה </w:t>
      </w:r>
      <w:r>
        <w:rPr>
          <w:rFonts w:ascii="Arial" w:hAnsi="Arial" w:cs="Arial"/>
          <w:rtl w:val="true"/>
        </w:rPr>
        <w:t xml:space="preserve">אופק </w:t>
      </w:r>
      <w:r>
        <w:rPr>
          <w:rFonts w:ascii="Arial" w:hAnsi="Arial" w:cs="Arial"/>
          <w:rtl w:val="true"/>
        </w:rPr>
        <w:t>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בצריכה אקראית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חברתי ולא בבעיה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כאשר נדרש על ידי שירות המבחן לתת בדיקות שתן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לא הגיע לבדיק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>שני מועדים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אליהם הוזמן על ידי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אופק </w:t>
      </w:r>
      <w:r>
        <w:rPr>
          <w:rFonts w:ascii="Arial" w:hAnsi="Arial" w:cs="Arial"/>
          <w:rtl w:val="true"/>
        </w:rPr>
        <w:t>טען שהוא לא התייצב בשל מצב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הוצג רק </w:t>
      </w:r>
      <w:r>
        <w:rPr>
          <w:rFonts w:ascii="Arial" w:hAnsi="Arial" w:cs="Arial"/>
          <w:rtl w:val="true"/>
        </w:rPr>
        <w:t xml:space="preserve">אישור ביקור אצל רופא מיום </w:t>
      </w:r>
      <w:r>
        <w:rPr>
          <w:rFonts w:cs="Arial" w:ascii="Arial" w:hAnsi="Arial"/>
        </w:rPr>
        <w:t>14.5.16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בפני שירות המבחן לקח אופק אחריות חלקית בלבד על ביצוע העבירות וטען שהוא פעל כאמור בכתב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תחושות פחד ולחץ חברתי ותחושת מחויבות כלפי חבריו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להערכת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לאופק דפוסים עברייניים מושרשים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ביצוע העבירות מוסבר על ידי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במאפייני אישיות לא בשלים ובהתחברות לקבוצות שוליות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חווית המעצר וניהול התיק פלילי 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 הבית והתנאים המגבילים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השתתפותו בטיפול פרטי לצד השתתפותו בקבוצת עצורי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הובילו להפנמת חומרת מעשיו וכיום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הסיכון להישנות ביצוע עבירות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ברמה נמוכה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ממליצה קצינת המבחן שלא למצות עמו את הדין ולהימנע מהטלת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להטיל עליו מאסר שיבוצע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השתתפותו בטיפול 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המליצה קצינת המבחן על העמדת אופק בצו 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ישתלב במערך הטיפולי של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הומלץ לבטל את הרשעתו של אופק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 לגבי מתן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חמישה אחים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אחד מהם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בתיק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דינו נגזר ביום </w:t>
      </w:r>
      <w:r>
        <w:rPr>
          <w:rFonts w:cs="Arial" w:ascii="Arial" w:hAnsi="Arial"/>
        </w:rPr>
        <w:t>21.3.16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</w:t>
      </w:r>
      <w:r>
        <w:rPr>
          <w:rFonts w:ascii="Arial" w:hAnsi="Arial" w:cs="Arial"/>
          <w:rtl w:val="true"/>
        </w:rPr>
        <w:t>מא</w:t>
      </w:r>
      <w:r>
        <w:rPr>
          <w:rFonts w:ascii="Arial" w:hAnsi="Arial" w:cs="Arial"/>
          <w:rtl w:val="true"/>
        </w:rPr>
        <w:t>סר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אביהם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מתן ואלי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בחייו כקבלן בניין ונפטר לפני כשנתיים ממחלה ממארת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אין למתן הרשעות קודמות ועד לביצוע העבירות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התגורר בבית אמו בחדרה ועבד בשטיפת מכוניות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מיום </w:t>
      </w:r>
      <w:r>
        <w:rPr>
          <w:rFonts w:cs="Arial" w:ascii="Arial" w:hAnsi="Arial"/>
        </w:rPr>
        <w:t>16.10.15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שכתבה מחנכת כיתתו של מתן בבית הספר התיכון הובהר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הקשיים האישיים שפקדו 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פטירת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מתן הגיע לבית הספר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כיבד את המורים  ועשה את המוטל עליו תוך מיצוי יכולותיו הלימודיות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התעתד להתגייס ליחידת צנחנים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אך גיוסו נדחה בשל מעורבותו בעבירות דנן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התרשמה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מתן</w:t>
      </w:r>
      <w:r>
        <w:rPr>
          <w:rFonts w:ascii="Arial" w:hAnsi="Arial" w:cs="Arial"/>
          <w:rtl w:val="true"/>
        </w:rPr>
        <w:t xml:space="preserve"> לוקח אחריות 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מגלה אמפתיה כלפי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נוקט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וטשטוש</w:t>
      </w:r>
      <w:r>
        <w:rPr>
          <w:rFonts w:ascii="Arial" w:hAnsi="Arial" w:cs="Arial"/>
          <w:rtl w:val="true"/>
        </w:rPr>
        <w:t xml:space="preserve"> ונוטה למזער את חלקו באירועים הנדונים ולהשליך את האחריות לביצועם  על שותפיו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עדן וא</w:t>
      </w:r>
      <w:r>
        <w:rPr>
          <w:rFonts w:ascii="Arial" w:hAnsi="Arial" w:cs="Arial"/>
          <w:rtl w:val="true"/>
        </w:rPr>
        <w:t>ופק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מתן שלל שימוש בחומרים פסיכואקטיביים בעבר או בהווה ודגימת השתן שמסר העידה על ניקיון מסמים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התקשתה להעריך את הסיכון להישנות עבירות דומות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זאת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בשל הפער בין מאמציו של מתן לתפקד בצורה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קשריו האישיים וחוסר הכנות בדבריו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נטייתו להיגרר אחר דמויות דומיננטיות וכוחניות בקרב משפחתו וקושי להפעיל שיקול דעת 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ציינה את הזדהותו של מתן עם נורמות וערכים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כגורמים נוספים אשר עמדו ברקע להתנהגותו הפסולה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24.11.2015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שוחרר מתן לחלופת מעצר בפיקוח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צו פיקוח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שולב בקבוצה טיפולית לעצורי בית בעפולה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הגיע למפגשי הטיפול באופן קבוע והביע רצון לעתיד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שיתוף הפעולה שלו עם ההליך היה לקוני וקורבני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מסתיר את אורחות חייו לפני מעצרו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בניסיון להותיר רושם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התרשמות שירות המבחן הייתה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שמתן טרם החליט אם ברצונו לסגל לעצמו אורח חיים עברייני או 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 מנזקקות טיפולית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ציינה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חרף העובדה שמתן עבר תהליך טיפולי במשך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מתקשה להיעזר בהליך הטיפולי לשם התבוננות ביקורתית במעשיו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Arial" w:hAnsi="Arial" w:cs="Arial"/>
          <w:rtl w:val="true"/>
        </w:rPr>
        <w:t>נמנעה קצינת המבחן מהמלצה טיפולית והמליצה להטיל על מתן ענישה קונקרטית ומוחשית שתהווה מענה לרמת הסיכון הבינונית להישנות ביצוע עבירות דומות על ידו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בקשת המאשימה לחילוט רכוש לגבי מתן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בכתב האישום השני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שהוגש נגד מתן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ביקשה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36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לחלט רכוש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מתן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כסף מזומן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וכן רכב סקודה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3069464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בבקשה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ככל שהנאשם </w:t>
      </w:r>
      <w:r>
        <w:rPr>
          <w:rFonts w:ascii="Arial" w:hAnsi="Arial" w:cs="Arial"/>
          <w:rtl w:val="true"/>
        </w:rPr>
        <w:t xml:space="preserve">יורשע </w:t>
      </w:r>
      <w:r>
        <w:rPr>
          <w:rFonts w:ascii="Arial" w:hAnsi="Arial" w:cs="Arial"/>
          <w:rtl w:val="true"/>
        </w:rPr>
        <w:t>בעבירת הסחר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יוכרז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סוחר סמים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ורכושו יחולט לטובת אוצר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וה</w:t>
      </w:r>
      <w:r>
        <w:rPr>
          <w:rFonts w:ascii="Arial" w:hAnsi="Arial" w:cs="Arial"/>
          <w:rtl w:val="true"/>
        </w:rPr>
        <w:t>וא</w:t>
      </w:r>
      <w:r>
        <w:rPr>
          <w:rFonts w:ascii="Arial" w:hAnsi="Arial" w:cs="Arial"/>
          <w:rtl w:val="true"/>
        </w:rPr>
        <w:t xml:space="preserve"> שימש או נועד לשמש כאמצעי לביצוע העבירה או ששימש או נועד לשמש כדי לאפשר את ביצוע העבירה או שהושג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במישרין או בעקיפין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כשכר העבירה או כתוצאה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שיועד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חילוט </w:t>
      </w:r>
      <w:r>
        <w:rPr>
          <w:rFonts w:ascii="David" w:hAnsi="David"/>
          <w:rtl w:val="true"/>
        </w:rPr>
        <w:t>ונושא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שייטענו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מתן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30.5.16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נקבעה לשמיעת 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בקשת החילוט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לשמוע התנגדות לחילוט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שלא הוגש על ידי מתן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או על ידי מי שטוען לבעלות ברכוש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תצהיר ובו טענות לגבי 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כנדרש על פי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הסמים המסוכנים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סדרי דין לעניין חילוט רכוש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ן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התקנות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ביחס לסכום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להכריז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הכרזתו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שדווקא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הכרזת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כסוחר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סמים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ושאלת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החילוט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הכרזתי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36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להכריז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אפלייתו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רק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בעקיפין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הסעיף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720" w:start="720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</w:rPr>
        <w:t>36</w:t>
      </w:r>
      <w:r>
        <w:rPr>
          <w:rFonts w:ascii="Calibri" w:hAnsi="Calibri" w:cs="Calibri"/>
          <w:b/>
          <w:b/>
          <w:bCs/>
          <w:rtl w:val="true"/>
        </w:rPr>
        <w:t>א</w:t>
      </w:r>
    </w:p>
    <w:p>
      <w:pPr>
        <w:pStyle w:val="Normal"/>
        <w:spacing w:lineRule="auto" w:line="360" w:before="0" w:after="160"/>
        <w:ind w:start="144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יצווה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מנימוקים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יחולט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cs="Calibri" w:ascii="Calibri" w:hAnsi="Calibri"/>
          <w:b/>
          <w:bCs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144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כאמצעי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לאפשר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 w:before="0" w:after="160"/>
        <w:ind w:start="1440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במישרין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בעקיפין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כשכר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הכרזת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הצומח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האמורות</w:t>
      </w:r>
      <w:r>
        <w:rPr>
          <w:rFonts w:ascii="David" w:hAnsi="David"/>
          <w:rtl w:val="true"/>
        </w:rPr>
        <w:t xml:space="preserve"> 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36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72"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להוכיח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וילדיו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הרלבנטית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הוראת</w:t>
      </w:r>
      <w:r>
        <w:rPr>
          <w:rFonts w:ascii="David" w:hAnsi="David"/>
          <w:rtl w:val="true"/>
        </w:rPr>
        <w:t xml:space="preserve"> 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מהחריגים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לשון</w:t>
      </w:r>
      <w:r>
        <w:rPr>
          <w:rFonts w:ascii="Calibri" w:hAnsi="Calibri" w:cs="Calibri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720" w:start="720" w:end="567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שנידון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240" w:after="160"/>
        <w:ind w:start="144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)(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זוגו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ילדיו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מאלה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firstLine="720" w:start="72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אא</w:t>
      </w:r>
      <w:r>
        <w:rPr>
          <w:rFonts w:cs="Calibri" w:ascii="Calibri" w:hAnsi="Calibri"/>
          <w:b/>
          <w:bCs/>
          <w:rtl w:val="true"/>
        </w:rPr>
        <w:t xml:space="preserve">)  </w:t>
      </w:r>
      <w:r>
        <w:rPr>
          <w:rFonts w:ascii="Calibri" w:hAnsi="Calibri" w:cs="Calibri"/>
          <w:b/>
          <w:b/>
          <w:bCs/>
          <w:rtl w:val="true"/>
        </w:rPr>
        <w:t>האמצעים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חוקיים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 w:before="0" w:after="160"/>
        <w:ind w:start="144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בב</w:t>
      </w:r>
      <w:r>
        <w:rPr>
          <w:rFonts w:cs="Calibri" w:ascii="Calibri" w:hAnsi="Calibri"/>
          <w:b/>
          <w:bCs/>
          <w:rtl w:val="true"/>
        </w:rPr>
        <w:t xml:space="preserve">) 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שקדמו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נדון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 w:before="0" w:after="160"/>
        <w:ind w:start="1440" w:end="567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 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רכוש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שנמצא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בחזקתו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בחשבונו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הנידון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ייראה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כרכוש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זולתו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המפורטים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בדעתי להורות על חילוט סכום הכסף 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לגבי שלושת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התייחס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לגבי כל 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העבירות המיוחסות לו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הודגשה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הקבועים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הרלבנטיים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וההצתה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ורכושו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שב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פזיזות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ורשלנות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ָ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>ּ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הסתיימה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מאחר ש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הפזיזות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והרשלנות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לשבש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חקירתי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קדמו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תוכננו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היטב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לתכננם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והתאמנו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ביצוע ה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דווקא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שנתיים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וחצי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לחמש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המאבטח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יוצרות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בהפנותו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3117/12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ארביב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6.9.12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211/09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שמעון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אזולאי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22.6.2010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LSD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ופסילת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להוראות</w:t>
      </w:r>
      <w:r>
        <w:rPr>
          <w:rFonts w:ascii="David" w:hAnsi="David"/>
          <w:rtl w:val="true"/>
        </w:rPr>
        <w:t xml:space="preserve"> 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37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</w:t>
      </w:r>
      <w:r>
        <w:rPr>
          <w:rFonts w:ascii="David" w:hAnsi="David"/>
          <w:rtl w:val="true"/>
        </w:rPr>
        <w:t xml:space="preserve">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המתפרשים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נלווית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ובמשאבי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 ואופק לבין מתן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ולגזו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הצביע על ה</w:t>
      </w:r>
      <w:r>
        <w:rPr>
          <w:rFonts w:ascii="David" w:hAnsi="David"/>
          <w:rtl w:val="true"/>
        </w:rPr>
        <w:t>בעייתיות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הנורמות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מזדהה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הסנגורים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עדן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יהונתן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ברנקו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בצבא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מדהימים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הכדורגל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שחסרות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 הביע בטחון 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הלקח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כנשאל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כטיפוס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טולידנו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המומחים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עדן מעד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הסב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לגולני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טולידנו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לובשי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משפחה אשר אי</w:t>
      </w:r>
      <w:r>
        <w:rPr>
          <w:rFonts w:ascii="David" w:hAnsi="David"/>
          <w:rtl w:val="true"/>
        </w:rPr>
        <w:t>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האב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שהוא איננו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אחת </w:t>
      </w:r>
      <w:r>
        <w:rPr>
          <w:rFonts w:ascii="David" w:hAnsi="David"/>
          <w:rtl w:val="true"/>
        </w:rPr>
        <w:t>ורישיון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עדן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עניין מתחם העונש ההולם את העבירות של </w:t>
      </w:r>
      <w:r>
        <w:rPr>
          <w:rFonts w:ascii="David" w:hAnsi="David"/>
          <w:rtl w:val="true"/>
        </w:rPr>
        <w:t>זריקת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התמורה שקיבל עדן הייתה </w:t>
      </w:r>
      <w:r>
        <w:rPr>
          <w:rFonts w:ascii="David" w:hAnsi="David"/>
          <w:rtl w:val="true"/>
        </w:rPr>
        <w:t>גראס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לשיטת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ארביב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מחולל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לקזז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גיוסו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מקובל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ההנאה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ושאיפותיו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ליחידה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החרטה העולה ממנה ועל </w:t>
      </w:r>
      <w:r>
        <w:rPr>
          <w:rFonts w:ascii="David" w:hAnsi="David"/>
          <w:rtl w:val="true"/>
        </w:rPr>
        <w:t>החיסכון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ובמשאבים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להעדיף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עדן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חינכו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עשה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ולצמוח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וחרטה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ושלמה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ואמר שהוא </w:t>
      </w:r>
      <w:r>
        <w:rPr>
          <w:rFonts w:ascii="David" w:hAnsi="David"/>
          <w:rtl w:val="true"/>
        </w:rPr>
        <w:t>מתכוון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להפוך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אופק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אופק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הוגשו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מטפוריים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הכותבת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וש</w:t>
      </w:r>
      <w:r>
        <w:rPr>
          <w:rFonts w:ascii="Calibri" w:hAnsi="Calibri" w:cs="Calibri"/>
          <w:rtl w:val="true"/>
        </w:rPr>
        <w:t>השבתו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להתאושש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מגימנסיה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המציינים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וההנהלה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כיב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לו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רענן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אמבולנסים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המעסיקה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>ת ו</w:t>
      </w:r>
      <w:r>
        <w:rPr>
          <w:rFonts w:ascii="David" w:hAnsi="David"/>
          <w:rtl w:val="true"/>
        </w:rPr>
        <w:t>לאופק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כחייל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מרפאה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מוחלט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שדחו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נובמבר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שהשפיעו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אופק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מאוגוסט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ליפשיץ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26.10.15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הפרוטוקול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המבצע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עבריינים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השתמשו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בראש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הביע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בחקירתו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השתלשלות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ומעורבותם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הגירושין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התרופפות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שחלה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לצרכיו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הרגשיים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וחיבור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הרסני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רעולי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כפפות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אופק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גיוסו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יאפשרו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יבקש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לאומי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הוגשו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המציין שמתן ניגש לחלק מבחינות הבגרות ועבר אותן בהצלחה 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שבזמן לימודיו הוא כיבד את צוות המורים ואת 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הקשיים שפקדו את משפחתו ופטירת אביו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טעם חדוה יחזקאלי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סגנית ראש העיר </w:t>
      </w:r>
      <w:r>
        <w:rPr>
          <w:rFonts w:ascii="David" w:hAnsi="David"/>
          <w:rtl w:val="true"/>
        </w:rPr>
        <w:t>חדרה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מציינת את עזרתו הרבה של מתן בשליחות ציבורית ובעמותת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אהבת רחמים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המעניקה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משפחות אוכל וציוד אלמנטרי מדי שבוע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במכתב מתואר גם מצבה הסוציואקונומי של המשפחה  ומבוקש לאפשר לו לבצע עבודות שירות באחת העמותות המעניקות שרות לתושבי חדרה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גיוס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מטעם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העיד דודו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יוסי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וענונו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מר וענונו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נפל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בקבלנות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גרוע</w:t>
      </w:r>
      <w:r>
        <w:rPr>
          <w:rFonts w:ascii="David" w:hAnsi="David"/>
          <w:rtl w:val="true"/>
        </w:rPr>
        <w:t xml:space="preserve"> וש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סנגורו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זכאי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להשחיר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לגופם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אלי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הדומיננטית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ותולדות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לנהוג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</w:t>
      </w:r>
      <w:r>
        <w:rPr>
          <w:rFonts w:ascii="David" w:hAnsi="David"/>
          <w:rtl w:val="true"/>
        </w:rPr>
        <w:t>ֵ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שנרקמה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הושפע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במאבטח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זליגת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הפקודה</w:t>
      </w:r>
      <w:r>
        <w:rPr>
          <w:rFonts w:ascii="David" w:hAnsi="David"/>
          <w:rtl w:val="true"/>
        </w:rPr>
        <w:t xml:space="preserve"> וב</w:t>
      </w:r>
      <w:r>
        <w:rPr>
          <w:rFonts w:ascii="David" w:hAnsi="David"/>
          <w:rtl w:val="true"/>
        </w:rPr>
        <w:t>מכירות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ואישיותו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הבשילה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ובמשאבים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המרוחקת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שהרווח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זעום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בודדות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החתמת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הפלילי 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מתן למצוא </w:t>
      </w:r>
      <w:r>
        <w:rPr>
          <w:rFonts w:ascii="David" w:hAnsi="David"/>
          <w:rtl w:val="true"/>
        </w:rPr>
        <w:t>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בגידול</w:t>
      </w:r>
      <w:r>
        <w:rPr>
          <w:rFonts w:ascii="David" w:hAnsi="David"/>
          <w:rtl w:val="true"/>
        </w:rPr>
        <w:t xml:space="preserve"> 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מתן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ומורחקים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וחייו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טלטלה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וגזירת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עבו</w:t>
      </w:r>
      <w:r>
        <w:rPr>
          <w:rFonts w:ascii="David" w:hAnsi="David"/>
          <w:rtl w:val="true"/>
        </w:rPr>
        <w:t>ּ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ולמעשה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של שמירת שלמות הגוף והקניין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בקבוקי תבערה הם </w:t>
      </w:r>
      <w:r>
        <w:rPr>
          <w:rFonts w:ascii="David" w:hAnsi="David"/>
          <w:rtl w:val="true"/>
        </w:rPr>
        <w:t>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מרסיסי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זכוכית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בבקבוק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ייצרו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יכולים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ולמעשה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על אף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הרבה אשר </w:t>
      </w:r>
      <w:r>
        <w:rPr>
          <w:rFonts w:ascii="David" w:hAnsi="David"/>
          <w:rtl w:val="true"/>
        </w:rPr>
        <w:t>שבמעשיהם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יתירה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ונכבה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מפחיתה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מסכימה אני עם טיעונו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עובדה זו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דווקא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</w:t>
      </w:r>
      <w:r>
        <w:rPr>
          <w:rFonts w:ascii="David" w:hAnsi="David"/>
          <w:rtl w:val="true"/>
        </w:rPr>
        <w:t xml:space="preserve"> 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ובהינתן המטרה של השלכת בקבוק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באישום השני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פלוני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7887/12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מאיר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שאול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24.4.2013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אידיאולוגי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נשרפו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בהם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 בפסקי דין אלה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בכל מקרה הפנו ב</w:t>
      </w:r>
      <w:r>
        <w:rPr>
          <w:rFonts w:ascii="David" w:hAnsi="David"/>
          <w:rtl w:val="true"/>
        </w:rPr>
        <w:t>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 </w:t>
      </w:r>
      <w:r>
        <w:rPr>
          <w:rFonts w:ascii="David" w:hAnsi="David"/>
          <w:rtl w:val="true"/>
        </w:rPr>
        <w:t>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ציינו ש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ואכן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בפסקי דין 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מיוחדים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8373/11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סרגיי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פושקריוב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23.7.2012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לגביו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קוטבית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8501/09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אבי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בוכרע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10.8.2010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7555/14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פלוני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10.6.2015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גם בו היה מדובר במקרה מיוחד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וביניהם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טקלה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מלקו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17.9.2013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5013/12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פיטייב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המקרה דנן חמור יותר מהמקרים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 - </w:t>
      </w:r>
      <w:hyperlink r:id="rId8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פלוני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25.6.2013</w:t>
      </w:r>
      <w:r>
        <w:rPr>
          <w:rFonts w:cs="David" w:ascii="David" w:hAnsi="David"/>
          <w:rtl w:val="true"/>
        </w:rPr>
        <w:t xml:space="preserve">); 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36272-01-13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חסן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19.2.2014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והשלכתם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rtl w:val="true"/>
        </w:rPr>
        <w:t>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שירוצו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גזירת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הדין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לגבי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אחד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מהנאשמים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כללי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9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ונקבעים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לגזור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נפרד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אירוע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בגזירת הדין של שלושת הנאשמים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כמו גם בקביעת המתחם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הבאתי בחשבון את הסדר הטיעון לגבי אלי ואת העונש שנגזר עליו וגזרתי את עונשם של הנאשמים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בשים לב לעיקרון של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לאחר שנתתי דעתי לאישומים השונים בהם הורשע כל אחד מהנאשמים ולנסיבות הספציפיות הנוגעות אליו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ובעיקר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יותר מכך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גם ל</w:t>
      </w:r>
      <w:r>
        <w:rPr>
          <w:rFonts w:ascii="David" w:hAnsi="David"/>
          <w:rtl w:val="true"/>
        </w:rPr>
        <w:t>מטרתם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שבהשלכת בקבוק התבערה שב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ואופק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Calibri" w:hAnsi="Calibri" w:cs="Miriam"/>
          <w:rtl w:val="true"/>
        </w:rPr>
        <w:t>כשמה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המלצה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ובית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</w:t>
      </w:r>
      <w:r>
        <w:rPr>
          <w:rFonts w:cs="Calibri" w:ascii="Calibri" w:hAnsi="Calibri"/>
          <w:rtl w:val="true"/>
        </w:rPr>
        <w:t xml:space="preserve">" - </w:t>
      </w:r>
      <w:hyperlink r:id="rId9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Century" w:ascii="Century" w:hAnsi="Century"/>
          <w:rtl w:val="true"/>
        </w:rPr>
        <w:t>, (</w:t>
      </w:r>
      <w:r>
        <w:rPr>
          <w:rFonts w:cs="Century" w:ascii="Century" w:hAnsi="Century"/>
        </w:rPr>
        <w:t>25.6.2013</w:t>
      </w:r>
      <w:r>
        <w:rPr>
          <w:rFonts w:cs="Century" w:ascii="Century" w:hAnsi="Century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Miriam"/>
          <w:rtl w:val="true"/>
        </w:rPr>
        <w:t>להעריך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ולשקול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מכלול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שיקולים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שעליהם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אמון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שירות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המבחן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9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2028/15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אכרם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ג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וליס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ואח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11.5.2016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eastAsia="Arial TUR;Arial" w:cs="Arial TUR;Arial" w:ascii="Arial TUR;Arial" w:hAnsi="Arial TUR;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7240/13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אדם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סבהט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18.5.2014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השיקום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ולהמלצת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המבחן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בבואו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לבחון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בייחוד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צעיר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הנמצא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בתהליך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עיצוב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המבוגרים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מהערכותיו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המבחן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המערער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מעוניין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ובתמים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שינוי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באורח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להשתלב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טיפולית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ולסגל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לעצמו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נורמטיבית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מנהליים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מעכבים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להשתלב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במסגרת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טיפולית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במהלך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אינטרס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ציבורי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מיטבי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תהליך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השיקום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נשכר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יחד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שיקול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השיקום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להחליף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ההלימה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entury" w:hAnsi="Century" w:cs="Miriam"/>
          <w:rtl w:val="true"/>
        </w:rPr>
        <w:t>ולא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בכל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מקרה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הוא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יביא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לחריגה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לקולה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ממתחם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הענישה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שנקבע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Miriam" w:ascii="Century" w:hAnsi="Century"/>
          <w:rtl w:val="true"/>
        </w:rPr>
        <w:t>(</w:t>
      </w:r>
      <w:r>
        <w:rPr>
          <w:rFonts w:ascii="Century" w:hAnsi="Century" w:cs="Miriam"/>
          <w:rtl w:val="true"/>
        </w:rPr>
        <w:t>ראו</w:t>
      </w:r>
      <w:r>
        <w:rPr>
          <w:rFonts w:cs="Miriam" w:ascii="Century" w:hAnsi="Century"/>
          <w:rtl w:val="true"/>
        </w:rPr>
        <w:t xml:space="preserve">: </w:t>
      </w:r>
      <w:hyperlink r:id="rId95">
        <w:r>
          <w:rPr>
            <w:rStyle w:val="Hyperlink"/>
            <w:rFonts w:ascii="Century" w:hAnsi="Century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color w:val="0000FF"/>
            <w:u w:val="single"/>
          </w:rPr>
          <w:t>452/14</w:t>
        </w:r>
      </w:hyperlink>
      <w:r>
        <w:rPr>
          <w:rFonts w:cs="Miriam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Miriam" w:ascii="Century" w:hAnsi="Century"/>
          <w:rtl w:val="true"/>
        </w:rPr>
        <w:t xml:space="preserve">,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 </w:t>
      </w:r>
      <w:r>
        <w:rPr>
          <w:rFonts w:ascii="Century" w:hAnsi="Century" w:cs="Miriam"/>
          <w:rtl w:val="true"/>
        </w:rPr>
        <w:t>פסקה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Miriam" w:ascii="Century" w:hAnsi="Century"/>
        </w:rPr>
        <w:t>12</w:t>
      </w:r>
      <w:r>
        <w:rPr>
          <w:rFonts w:cs="Miriam" w:ascii="Century" w:hAnsi="Century"/>
          <w:rtl w:val="true"/>
        </w:rPr>
        <w:t xml:space="preserve"> (</w:t>
      </w:r>
      <w:r>
        <w:rPr>
          <w:rFonts w:cs="Miriam" w:ascii="Century" w:hAnsi="Century"/>
        </w:rPr>
        <w:t>3.4.2014</w:t>
      </w:r>
      <w:r>
        <w:rPr>
          <w:rFonts w:cs="Miriam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/>
          <w:rtl w:val="true"/>
        </w:rPr>
        <w:t>וכעת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הפרטני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עדן</w:t>
      </w:r>
      <w:r>
        <w:rPr>
          <w:rFonts w:ascii="David" w:hAnsi="David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LSD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התרועע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שניה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רוב רובה של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העבריין </w:t>
      </w:r>
      <w:r>
        <w:rPr>
          <w:rFonts w:ascii="David" w:hAnsi="David"/>
          <w:rtl w:val="true"/>
        </w:rPr>
        <w:t>לביצועה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ימנעו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</w:t>
      </w:r>
      <w:r>
        <w:rPr>
          <w:rFonts w:ascii="David" w:hAnsi="David"/>
          <w:rtl w:val="true"/>
        </w:rPr>
        <w:t>ּ</w:t>
      </w:r>
      <w:r>
        <w:rPr>
          <w:rFonts w:ascii="David" w:hAnsi="David"/>
          <w:rtl w:val="true"/>
        </w:rPr>
        <w:t>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u w:val="single"/>
          <w:rtl w:val="true"/>
        </w:rPr>
        <w:t>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שפעלת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שלמרות פיתויים ונסיבות חיצוניות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בדיעבד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ממעשיך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שלך</w:t>
      </w:r>
      <w:r>
        <w:rPr>
          <w:rFonts w:ascii="David" w:hAnsi="David"/>
          <w:rtl w:val="true"/>
        </w:rPr>
        <w:t xml:space="preserve"> ומעשי שותפיך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עמם חֲבַרתָ לביצוע המעשה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שגם למעשיהם אתה אחראי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ההיפך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להתרועע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מתירנית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כהגדרת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שכלל אינם מצדיקים זאת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ושהוא </w:t>
      </w:r>
      <w:r>
        <w:rPr>
          <w:rFonts w:ascii="David" w:hAnsi="David"/>
          <w:rtl w:val="true"/>
        </w:rPr>
        <w:t>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משמעותי </w:t>
      </w:r>
      <w:r>
        <w:rPr>
          <w:rFonts w:ascii="David" w:hAnsi="David"/>
          <w:rtl w:val="true"/>
        </w:rPr>
        <w:t>מהאחריות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71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נסיבות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תכנונן והחזרה על ביצוע העבירה החמורה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נוכח כל האמור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אוכל לראות בביצוע העבירות על ידי עדן משום מעידה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בדבריו של עדן בפניי ובחרטה שהביע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התחשבתי גם ב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ולהתחבר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ולהשלכותיהם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אוכל לתת לכך משקל כה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קבלת המלצת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הבגירות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ascii="David" w:hAnsi="David"/>
          <w:rtl w:val="true"/>
        </w:rPr>
        <w:t xml:space="preserve"> ומהאמור במסמכים שהוגשו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הבאתי בחשבון את התקופה בה היה עדן עצור בתיק זה ואת התקופה בה שהה בתנאי מגבילים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המאזניים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לעיל לזכותו של עדן ואת כל 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ובסיכויי שיקומו של 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מופחתת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שישתחרר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22.8.15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16.10.15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</w:t>
      </w:r>
      <w:hyperlink r:id="rId9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37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פוסלת את עדן מלקבל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מלהחזיק רישיון נהיגה למשך שנה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טוכוטולין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1.8.16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אופק</w:t>
      </w:r>
      <w:r>
        <w:rPr>
          <w:rFonts w:ascii="David" w:hAnsi="David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וכי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להתרועע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בוודאי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טובים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הנימוקים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להעדפת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הבגירות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ascii="David" w:hAnsi="David"/>
          <w:rtl w:val="true"/>
        </w:rPr>
        <w:t xml:space="preserve"> ולמסמכים שהוגשו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הבאתי בחשבון את התקופה בה היה אופק עצור בתיק זה ואת התקופה בה שהה בתנאי מגבילים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79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מיכולותיו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הערכתו בדבר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ascii="David" w:hAnsi="David"/>
          <w:rtl w:val="true"/>
        </w:rPr>
        <w:t xml:space="preserve"> של אופק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המאזניים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מופחתת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שישתחרר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</w:rPr>
        <w:t>81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19.8.15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26.10.15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</w:t>
      </w:r>
      <w:hyperlink r:id="rId9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37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פוסלת את אופק מלקבל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מלהחזיק רישיון נהיגה למשך שנה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טוכוטולין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1.8.16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82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לבקבוקי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LSD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וקנבוס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את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משליך אל אחר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עדן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וקנבוס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צרכיו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גם לגבי 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לראות בעבירות שביצע מעידה חד פעמית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לגבי שני האישומים הראשונים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מהסיבות שפורטו לגבי האחרים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ואף לא לגבי 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מכירה של סמים בהזדמנויות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במקומות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לאנשים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תקופה של כחצי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איננה מעידה חד פעמית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שפרט למקרה של הסחר עם עדן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שאר המכירות לא בוצעו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 חברתיות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כטענת הסנגור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85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</w:t>
      </w:r>
      <w:r>
        <w:rPr>
          <w:rFonts w:ascii="David" w:hAnsi="David"/>
          <w:rtl w:val="true"/>
        </w:rPr>
        <w:t>ֵּ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הבאתי בחשבון גם את התקופה בה ישב מתן במעצר ואת התקופה בה שהה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86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בש</w:t>
      </w:r>
      <w:r>
        <w:rPr>
          <w:rFonts w:ascii="David" w:hAnsi="David"/>
          <w:rtl w:val="true"/>
        </w:rPr>
        <w:t>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בשים לב לכך וכן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16.8.15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24.11.15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</w:t>
      </w:r>
      <w:hyperlink r:id="rId9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37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פוסלת את מתן מלקבל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מלהחזיק רישיון נהיגה למשך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הפסילה תחל ביום גמר ריצוי עונש המאסר שנגזר על מתן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בחזקתו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רוסלן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טוכוטולין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ascii="David" w:hAnsi="David"/>
          <w:rtl w:val="true"/>
        </w:rPr>
        <w:t>הפיצויים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1/10/2017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87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88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מורה על חילוט הסמים שנתפסו בתיק זה לטובת המדינה ועל השמדתם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זכות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ערעור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100"/>
      <w:footerReference w:type="default" r:id="rId10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12325-09-15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עדן טולידנו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  <w:b w:val="false"/>
      <w:bCs w:val="false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1">
    <w:name w:val="טקסט הערה תו1"/>
    <w:qFormat/>
    <w:rPr>
      <w:rFonts w:cs="Arial"/>
      <w:sz w:val="20"/>
      <w:szCs w:val="20"/>
    </w:rPr>
  </w:style>
  <w:style w:type="character" w:styleId="11">
    <w:name w:val="טקסט הערה תו11"/>
    <w:qFormat/>
    <w:rPr>
      <w:rFonts w:cs="Times New Roman"/>
      <w:sz w:val="20"/>
      <w:szCs w:val="20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12">
    <w:name w:val="טקסט בלונים תו1"/>
    <w:qFormat/>
    <w:rPr>
      <w:rFonts w:ascii="Tahoma" w:hAnsi="Tahoma" w:cs="Tahoma"/>
      <w:sz w:val="18"/>
      <w:szCs w:val="18"/>
    </w:rPr>
  </w:style>
  <w:style w:type="character" w:styleId="111">
    <w:name w:val="טקסט בלונים תו11"/>
    <w:qFormat/>
    <w:rPr>
      <w:rFonts w:ascii="Tahoma" w:hAnsi="Tahoma" w:cs="Tahoma"/>
      <w:sz w:val="18"/>
      <w:szCs w:val="18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11">
    <w:name w:val="P11"/>
    <w:basedOn w:val="P00"/>
    <w:qFormat/>
    <w:pPr>
      <w:ind w:hanging="0" w:start="2835" w:end="624"/>
    </w:pPr>
    <w:rPr/>
  </w:style>
  <w:style w:type="paragraph" w:styleId="big-header">
    <w:name w:val="big-header"/>
    <w:basedOn w:val="Normal"/>
    <w:qFormat/>
    <w:pPr>
      <w:keepNext w:val="true"/>
      <w:keepLines/>
      <w:widowControl w:val="false"/>
      <w:suppressAutoHyphens w:val="true"/>
      <w:autoSpaceDE w:val="false"/>
      <w:spacing w:before="440" w:after="120"/>
      <w:ind w:hanging="0" w:start="2835" w:end="0"/>
      <w:jc w:val="center"/>
    </w:pPr>
    <w:rPr>
      <w:rFonts w:cs="Times New Roman"/>
      <w:sz w:val="20"/>
      <w:szCs w:val="32"/>
      <w:lang w:val="en-IL" w:eastAsia="en-IL"/>
    </w:rPr>
  </w:style>
  <w:style w:type="paragraph" w:styleId="medium-header">
    <w:name w:val="medium-header"/>
    <w:basedOn w:val="P00"/>
    <w:qFormat/>
    <w:pPr>
      <w:keepNext w:val="true"/>
      <w:keepLines/>
      <w:spacing w:before="72" w:after="0"/>
      <w:jc w:val="center"/>
    </w:pPr>
    <w:rPr/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P33">
    <w:name w:val="P33"/>
    <w:basedOn w:val="P00"/>
    <w:qFormat/>
    <w:pPr>
      <w:ind w:hanging="0" w:start="2835" w:end="1474"/>
    </w:pPr>
    <w:rPr/>
  </w:style>
  <w:style w:type="paragraph" w:styleId="P44">
    <w:name w:val="P44"/>
    <w:basedOn w:val="P00"/>
    <w:qFormat/>
    <w:pPr>
      <w:ind w:hanging="0" w:start="2835" w:end="1928"/>
    </w:pPr>
    <w:rPr/>
  </w:style>
  <w:style w:type="paragraph" w:styleId="Ruller3">
    <w:name w:val="Ruller 3"/>
    <w:basedOn w:val="Normal"/>
    <w:qFormat/>
    <w:pPr>
      <w:overflowPunct w:val="false"/>
      <w:autoSpaceDE w:val="false"/>
      <w:spacing w:lineRule="auto" w:line="360"/>
    </w:pPr>
    <w:rPr>
      <w:rFonts w:cs="FrankRuehl"/>
      <w:spacing w:val="10"/>
      <w:sz w:val="22"/>
      <w:szCs w:val="28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</w:pPr>
    <w:rPr>
      <w:bCs/>
      <w:sz w:val="20"/>
    </w:rPr>
  </w:style>
  <w:style w:type="paragraph" w:styleId="BodyRuller">
    <w:name w:val="Body Ruller"/>
    <w:basedOn w:val="Normal"/>
    <w:qFormat/>
    <w:pPr>
      <w:overflowPunct w:val="false"/>
      <w:autoSpaceDE w:val="false"/>
    </w:pPr>
    <w:rPr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338.a.3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/31.6" TargetMode="External"/><Relationship Id="rId18" Type="http://schemas.openxmlformats.org/officeDocument/2006/relationships/hyperlink" Target="http://www.nevo.co.il/law/4216/35" TargetMode="External"/><Relationship Id="rId19" Type="http://schemas.openxmlformats.org/officeDocument/2006/relationships/hyperlink" Target="http://www.nevo.co.il/law/4216/36a" TargetMode="External"/><Relationship Id="rId20" Type="http://schemas.openxmlformats.org/officeDocument/2006/relationships/hyperlink" Target="http://www.nevo.co.il/law/4216/36a.a.1" TargetMode="External"/><Relationship Id="rId21" Type="http://schemas.openxmlformats.org/officeDocument/2006/relationships/hyperlink" Target="http://www.nevo.co.il/law/4216/36a.a.2" TargetMode="External"/><Relationship Id="rId22" Type="http://schemas.openxmlformats.org/officeDocument/2006/relationships/hyperlink" Target="http://www.nevo.co.il/law/4216/36a.b" TargetMode="External"/><Relationship Id="rId23" Type="http://schemas.openxmlformats.org/officeDocument/2006/relationships/hyperlink" Target="http://www.nevo.co.il/law/4216/37a.a" TargetMode="External"/><Relationship Id="rId24" Type="http://schemas.openxmlformats.org/officeDocument/2006/relationships/hyperlink" Target="http://www.nevo.co.il/law/4219" TargetMode="External"/><Relationship Id="rId25" Type="http://schemas.openxmlformats.org/officeDocument/2006/relationships/hyperlink" Target="http://www.nevo.co.il/case/20557630" TargetMode="External"/><Relationship Id="rId26" Type="http://schemas.openxmlformats.org/officeDocument/2006/relationships/hyperlink" Target="http://www.nevo.co.il/case/20560622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48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b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29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38.a.3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4216/13" TargetMode="External"/><Relationship Id="rId52" Type="http://schemas.openxmlformats.org/officeDocument/2006/relationships/hyperlink" Target="http://www.nevo.co.il/law/4216/19a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law/70301/29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4216/7.a.;7.c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70301/29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4216/13" TargetMode="External"/><Relationship Id="rId61" Type="http://schemas.openxmlformats.org/officeDocument/2006/relationships/hyperlink" Target="http://www.nevo.co.il/law/4216/19a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4216/7.a.;7.c" TargetMode="External"/><Relationship Id="rId64" Type="http://schemas.openxmlformats.org/officeDocument/2006/relationships/hyperlink" Target="http://www.nevo.co.il/law/4216" TargetMode="External"/><Relationship Id="rId65" Type="http://schemas.openxmlformats.org/officeDocument/2006/relationships/hyperlink" Target="http://www.nevo.co.il/law/4216/36a" TargetMode="External"/><Relationship Id="rId66" Type="http://schemas.openxmlformats.org/officeDocument/2006/relationships/hyperlink" Target="http://www.nevo.co.il/law/4216" TargetMode="External"/><Relationship Id="rId67" Type="http://schemas.openxmlformats.org/officeDocument/2006/relationships/hyperlink" Target="http://www.nevo.co.il/law/4219" TargetMode="External"/><Relationship Id="rId68" Type="http://schemas.openxmlformats.org/officeDocument/2006/relationships/hyperlink" Target="http://www.nevo.co.il/law/4216/36a.b" TargetMode="External"/><Relationship Id="rId69" Type="http://schemas.openxmlformats.org/officeDocument/2006/relationships/hyperlink" Target="http://www.nevo.co.il/law/4216/36a" TargetMode="External"/><Relationship Id="rId70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law/4216/36a.a.1" TargetMode="External"/><Relationship Id="rId72" Type="http://schemas.openxmlformats.org/officeDocument/2006/relationships/hyperlink" Target="http://www.nevo.co.il/law/4216/36a.a.2" TargetMode="External"/><Relationship Id="rId73" Type="http://schemas.openxmlformats.org/officeDocument/2006/relationships/hyperlink" Target="http://www.nevo.co.il/law/4216/31.6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law/4216/31.6" TargetMode="External"/><Relationship Id="rId76" Type="http://schemas.openxmlformats.org/officeDocument/2006/relationships/hyperlink" Target="http://www.nevo.co.il/case/5583030" TargetMode="External"/><Relationship Id="rId77" Type="http://schemas.openxmlformats.org/officeDocument/2006/relationships/hyperlink" Target="http://www.nevo.co.il/case/5698919" TargetMode="External"/><Relationship Id="rId78" Type="http://schemas.openxmlformats.org/officeDocument/2006/relationships/hyperlink" Target="http://www.nevo.co.il/law/4216/37a.a" TargetMode="External"/><Relationship Id="rId79" Type="http://schemas.openxmlformats.org/officeDocument/2006/relationships/hyperlink" Target="http://www.nevo.co.il/law/4216" TargetMode="External"/><Relationship Id="rId80" Type="http://schemas.openxmlformats.org/officeDocument/2006/relationships/hyperlink" Target="http://www.nevo.co.il/law/4216/35" TargetMode="External"/><Relationship Id="rId81" Type="http://schemas.openxmlformats.org/officeDocument/2006/relationships/hyperlink" Target="http://www.nevo.co.il/law/4216" TargetMode="External"/><Relationship Id="rId82" Type="http://schemas.openxmlformats.org/officeDocument/2006/relationships/hyperlink" Target="http://www.nevo.co.il/case/6188919" TargetMode="External"/><Relationship Id="rId83" Type="http://schemas.openxmlformats.org/officeDocument/2006/relationships/hyperlink" Target="http://www.nevo.co.il/case/5604013" TargetMode="External"/><Relationship Id="rId84" Type="http://schemas.openxmlformats.org/officeDocument/2006/relationships/hyperlink" Target="http://www.nevo.co.il/case/5607692" TargetMode="External"/><Relationship Id="rId85" Type="http://schemas.openxmlformats.org/officeDocument/2006/relationships/hyperlink" Target="http://www.nevo.co.il/case/6130987" TargetMode="External"/><Relationship Id="rId86" Type="http://schemas.openxmlformats.org/officeDocument/2006/relationships/hyperlink" Target="http://www.nevo.co.il/case/18653899" TargetMode="External"/><Relationship Id="rId87" Type="http://schemas.openxmlformats.org/officeDocument/2006/relationships/hyperlink" Target="http://www.nevo.co.il/case/5884073" TargetMode="External"/><Relationship Id="rId88" Type="http://schemas.openxmlformats.org/officeDocument/2006/relationships/hyperlink" Target="http://www.nevo.co.il/case/6248029" TargetMode="External"/><Relationship Id="rId89" Type="http://schemas.openxmlformats.org/officeDocument/2006/relationships/hyperlink" Target="http://www.nevo.co.il/case/4639226" TargetMode="External"/><Relationship Id="rId90" Type="http://schemas.openxmlformats.org/officeDocument/2006/relationships/hyperlink" Target="http://www.nevo.co.il/law/70301/40jc.b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case/6248029" TargetMode="External"/><Relationship Id="rId93" Type="http://schemas.openxmlformats.org/officeDocument/2006/relationships/hyperlink" Target="http://www.nevo.co.il/case/20135901" TargetMode="External"/><Relationship Id="rId94" Type="http://schemas.openxmlformats.org/officeDocument/2006/relationships/hyperlink" Target="http://www.nevo.co.il/case/8463224" TargetMode="External"/><Relationship Id="rId95" Type="http://schemas.openxmlformats.org/officeDocument/2006/relationships/hyperlink" Target="http://www.nevo.co.il/case/11206432" TargetMode="External"/><Relationship Id="rId96" Type="http://schemas.openxmlformats.org/officeDocument/2006/relationships/hyperlink" Target="http://www.nevo.co.il/law/4216/37a.a" TargetMode="External"/><Relationship Id="rId97" Type="http://schemas.openxmlformats.org/officeDocument/2006/relationships/hyperlink" Target="http://www.nevo.co.il/law/4216/37a.a" TargetMode="External"/><Relationship Id="rId98" Type="http://schemas.openxmlformats.org/officeDocument/2006/relationships/hyperlink" Target="http://www.nevo.co.il/law/4216/37a.a" TargetMode="External"/><Relationship Id="rId99" Type="http://schemas.openxmlformats.org/officeDocument/2006/relationships/hyperlink" Target="http://www.nevo.co.il/advertisements/nevo-100.doc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2017-01-10T13:56:00Z</dcterms:created>
  <dc:creator> </dc:creator>
  <dc:description/>
  <cp:keywords/>
  <dc:language>en-IL</dc:language>
  <cp:lastModifiedBy>Tali-a</cp:lastModifiedBy>
  <dcterms:modified xsi:type="dcterms:W3CDTF">2017-01-10T13:56:00Z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עדן טולידנו;אלי ארביב;אשתר אופק;מתן ארביב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20557630;20560622;5583030;5698919;6188919;5604013;5607692;6130987;18653899;5884073;6248029:2;4639226;20135901;8463224;11206432</vt:lpwstr>
  </property>
  <property fmtid="{D5CDD505-2E9C-101B-9397-08002B2CF9AE}" pid="9" name="CITY">
    <vt:lpwstr>חי'</vt:lpwstr>
  </property>
  <property fmtid="{D5CDD505-2E9C-101B-9397-08002B2CF9AE}" pid="10" name="DATE">
    <vt:lpwstr>20160613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נתנאל;</vt:lpwstr>
  </property>
  <property fmtid="{D5CDD505-2E9C-101B-9397-08002B2CF9AE}" pid="14" name="LAWLISTTMP1">
    <vt:lpwstr>70301/499.a.1:2;144.b2:2;029:7;144.a:2;448;025;244;338.a.3;40jc.b</vt:lpwstr>
  </property>
  <property fmtid="{D5CDD505-2E9C-101B-9397-08002B2CF9AE}" pid="15" name="LAWLISTTMP2">
    <vt:lpwstr>4216/013:2;019a:2;007.a:2;007.c:2;036a:2;036a.b;036a.a.1;036a.a.2;031.6:2;037a.a:4;035</vt:lpwstr>
  </property>
  <property fmtid="{D5CDD505-2E9C-101B-9397-08002B2CF9AE}" pid="16" name="LAWLISTTMP3">
    <vt:lpwstr>4219</vt:lpwstr>
  </property>
  <property fmtid="{D5CDD505-2E9C-101B-9397-08002B2CF9AE}" pid="17" name="LAWYER">
    <vt:lpwstr>שני בן גיגי;גיא מימון;שי לוי;מיכאל סיבוני;רותם כהן;אלעד אלימלך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12325;14966</vt:lpwstr>
  </property>
  <property fmtid="{D5CDD505-2E9C-101B-9397-08002B2CF9AE}" pid="24" name="NEWPARTB">
    <vt:lpwstr>09;09</vt:lpwstr>
  </property>
  <property fmtid="{D5CDD505-2E9C-101B-9397-08002B2CF9AE}" pid="25" name="NEWPARTC">
    <vt:lpwstr>15;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390020160613</vt:lpwstr>
  </property>
  <property fmtid="{D5CDD505-2E9C-101B-9397-08002B2CF9AE}" pid="36" name="TYPE_N_DATE">
    <vt:lpwstr>39020160613</vt:lpwstr>
  </property>
  <property fmtid="{D5CDD505-2E9C-101B-9397-08002B2CF9AE}" pid="37" name="VOLUME">
    <vt:lpwstr/>
  </property>
  <property fmtid="{D5CDD505-2E9C-101B-9397-08002B2CF9AE}" pid="38" name="WORDNUMPAGES">
    <vt:lpwstr>33</vt:lpwstr>
  </property>
</Properties>
</file>