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;Verdana" w:hAnsi="Tahoma;Verdana" w:cs="Tahoma;Verdana"/>
                <w:color w:val="000080"/>
              </w:rPr>
            </w:pPr>
            <w:bookmarkStart w:id="0" w:name="LastJudge"/>
            <w:bookmarkEnd w:id="0"/>
            <w:r>
              <w:rPr>
                <w:rFonts w:ascii="Tahoma;Verdana" w:hAnsi="Tahoma;Verdana" w:cs="Tahoma;Verdan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12376-04-20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ארפאעיה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;Times New Roman"/>
        </w:rPr>
      </w:pPr>
      <w:r>
        <w:rPr>
          <w:rFonts w:cs="Times New Roman;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סארי ג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ורד ארפאעיה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3" w:name="LawTable"/>
      <w:bookmarkEnd w:id="3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;Times New Roman" w:ascii="FrankRuehl;Times New Roman" w:hAnsi="FrankRuehl;Times New Roman"/>
            <w:u w:val="none"/>
          </w:rPr>
          <w:t>275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u w:val="none"/>
          </w:rPr>
          <w:t>338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 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</w:rPr>
        <w:t>1</w:t>
      </w:r>
      <w:r>
        <w:rPr>
          <w:rFonts w:cs="FrankRuehl;Times New Roman" w:ascii="FrankRuehl;Times New Roman" w:hAnsi="FrankRuehl;Times New Roman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u w:val="none"/>
          </w:rPr>
          <w:t>40</w:t>
        </w:r>
        <w:r>
          <w:rPr>
            <w:rStyle w:val="Hyperlink"/>
            <w:rFonts w:cs="FrankRuehl;Times New Roman" w:ascii="FrankRuehl;Times New Roman" w:hAnsi="FrankRuehl;Times New Roman"/>
            <w:u w:val="none"/>
            <w:rtl w:val="true"/>
          </w:rPr>
          <w:t xml:space="preserve"> </w:t>
        </w:r>
        <w:r>
          <w:rPr>
            <w:rStyle w:val="Hyperlink"/>
            <w:rFonts w:ascii="FrankRuehl;Times New Roman" w:hAnsi="FrankRuehl;Times New Roman" w:cs="FrankRuehl;Times New Roman"/>
            <w:u w:val="none"/>
            <w:rtl w:val="true"/>
          </w:rPr>
          <w:t>יא</w:t>
        </w:r>
      </w:hyperlink>
      <w:r>
        <w:rPr>
          <w:rFonts w:cs="FrankRuehl;Times New Roman" w:ascii="FrankRuehl;Times New Roman" w:hAnsi="FrankRuehl;Times New Roman"/>
          <w:color w:val="0000FF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</w:rPr>
        <w:t>1</w:t>
      </w:r>
      <w:r>
        <w:rPr>
          <w:rFonts w:cs="FrankRuehl;Times New Roman" w:ascii="FrankRuehl;Times New Roman" w:hAnsi="FrankRuehl;Times New Roman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;Arial" w:hAnsi="Arial;Arial" w:cs="Arial;Arial"/>
          <w:color w:val="0000FF"/>
        </w:rPr>
      </w:pPr>
      <w:r>
        <w:rPr>
          <w:rFonts w:cs="Arial;Arial" w:ascii="Arial;Arial" w:hAnsi="Arial;Aria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6" w:name="ABSTRACT_START"/>
      <w:bookmarkEnd w:id="6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  <w:rtl w:val="true"/>
        </w:rPr>
        <w:t>נשיאה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והובלה</w:t>
      </w:r>
      <w:r>
        <w:rPr>
          <w:rFonts w:cs="FrankRuehl;Times New Roman"/>
          <w:szCs w:val="26"/>
          <w:rtl w:val="true"/>
        </w:rPr>
        <w:t>)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הפרעה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לשוטר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במילוי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תפקידו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נידון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למשך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הסדר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טיעון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(</w:t>
      </w:r>
      <w:r>
        <w:rPr>
          <w:rFonts w:cs="FrankRuehl;Times New Roman"/>
          <w:szCs w:val="26"/>
          <w:rtl w:val="true"/>
        </w:rPr>
        <w:t>נשיאה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והובלה</w:t>
      </w:r>
      <w:r>
        <w:rPr>
          <w:rFonts w:cs="FrankRuehl;Times New Roman"/>
          <w:szCs w:val="26"/>
          <w:rtl w:val="true"/>
        </w:rPr>
        <w:t>)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הפרעה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לשוטר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במילוי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תפקידו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המחוזי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בפסיקה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עקבית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העליון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נקבע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ליתן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חומרה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יתרה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הואיל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וסכנה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גבוהה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נשקפת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מהן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וזאת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בשים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לב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לגישת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המחוקק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קבע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לצידן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מחמירה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קיימת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מגמה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החמרה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וזאת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מנת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להרתיע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מפני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ביצוען</w:t>
      </w:r>
      <w:r>
        <w:rPr>
          <w:rFonts w:cs="FrankRuehl;Times New Roman"/>
          <w:szCs w:val="26"/>
          <w:rtl w:val="true"/>
        </w:rPr>
        <w:t>.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בד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בבד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העיקרון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הנוהג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בפסיקה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קובע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אינדיבידואלית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הכול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ונסיבותיו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מבצע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העבירה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בהתחשב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במכלול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הקשורות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חומרת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והערכים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החברתיים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שנפגעו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כתוצאה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מביצועה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ולאחר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שעמדתי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הנהוגה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דומות</w:t>
      </w:r>
      <w:r>
        <w:rPr>
          <w:rFonts w:cs="FrankRuehl;Times New Roman"/>
          <w:szCs w:val="26"/>
          <w:rtl w:val="true"/>
        </w:rPr>
        <w:t>,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הראוי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המקרה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דנן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שנעה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14-36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לצד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נלווים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בשקלול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והנתונים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השונים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הראוי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22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בניכוי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ימי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המעצר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10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חודשים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;Arial" w:hAnsi="Arial;Arial" w:cs="Arial;Arial"/>
          <w:szCs w:val="26"/>
        </w:rPr>
      </w:pPr>
      <w:r>
        <w:rPr>
          <w:rFonts w:cs="Arial;Arial" w:ascii="Arial;Arial" w:hAnsi="Arial;Aria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;Times New Roman" w:hAnsi="David;Times New Roman" w:cs="David;Times New Roman"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;Times New Roman" w:hAnsi="David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ind w:end="0"/>
        <w:jc w:val="start"/>
        <w:rPr>
          <w:rFonts w:ascii="David;Times New Roman" w:hAnsi="David;Times New Roman" w:cs="David;Times New Roman"/>
          <w:b/>
          <w:bCs/>
          <w:u w:val="single"/>
        </w:rPr>
      </w:pPr>
      <w:r>
        <w:rPr>
          <w:rFonts w:cs="David;Times New Roman" w:ascii="David;Times New Roman" w:hAnsi="David;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הנסיבות הצריכות לעניין הן בתמצית אלה</w:t>
      </w:r>
      <w:r>
        <w:rPr>
          <w:rFonts w:cs="David;Times New Roman" w:ascii="David;Times New Roman" w:hAnsi="David;Times New Roman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;Times New Roman" w:ascii="David;Times New Roman" w:hAnsi="David;Times New Roman"/>
        </w:rPr>
        <w:t>1</w:t>
      </w:r>
      <w:r>
        <w:rPr>
          <w:rFonts w:cs="David;Times New Roman" w:ascii="David;Times New Roman" w:hAnsi="David;Times New Roman"/>
          <w:rtl w:val="true"/>
        </w:rPr>
        <w:t xml:space="preserve">.  </w:t>
        <w:tab/>
      </w:r>
      <w:r>
        <w:rPr>
          <w:rFonts w:ascii="David;Times New Roman" w:hAnsi="David;Times New Roman"/>
          <w:rtl w:val="true"/>
        </w:rPr>
        <w:t>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יליד </w:t>
      </w:r>
      <w:r>
        <w:rPr>
          <w:rFonts w:cs="David;Times New Roman" w:ascii="David;Times New Roman" w:hAnsi="David;Times New Roman"/>
        </w:rPr>
        <w:t>01.03.2000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הורשע ביום </w:t>
      </w:r>
      <w:r>
        <w:rPr>
          <w:rFonts w:cs="David;Times New Roman" w:ascii="David;Times New Roman" w:hAnsi="David;Times New Roman"/>
        </w:rPr>
        <w:t>19.11.2020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סמך הודאתו בעובדות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במסגרת הסדר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טיעון אליו הגיעו הצדדים</w:t>
      </w:r>
      <w:r>
        <w:rPr>
          <w:rFonts w:cs="David;Times New Roman" w:ascii="David;Times New Roman" w:hAnsi="David;Times New Roman"/>
          <w:rtl w:val="true"/>
        </w:rPr>
        <w:t>,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בעבירות בנשק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נשיאה והובלה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 xml:space="preserve">לפי </w:t>
      </w:r>
      <w:hyperlink r:id="rId7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144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ascii="David;Times New Roman" w:hAnsi="David;Times New Roman"/>
            <w:rtl w:val="true"/>
          </w:rPr>
          <w:t>ב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רישא </w:t>
      </w:r>
      <w:r>
        <w:rPr>
          <w:rFonts w:cs="David;Times New Roman" w:ascii="David;Times New Roman" w:hAnsi="David;Times New Roman"/>
          <w:rtl w:val="true"/>
        </w:rPr>
        <w:t xml:space="preserve">+ </w:t>
      </w:r>
      <w:r>
        <w:rPr>
          <w:rFonts w:ascii="David;Times New Roman" w:hAnsi="David;Times New Roman"/>
          <w:rtl w:val="true"/>
        </w:rPr>
        <w:t>סיפא ל</w:t>
      </w:r>
      <w:hyperlink r:id="rId8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התשל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ז – </w:t>
      </w:r>
      <w:r>
        <w:rPr>
          <w:rFonts w:cs="David;Times New Roman" w:ascii="David;Times New Roman" w:hAnsi="David;Times New Roman"/>
        </w:rPr>
        <w:t>1977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b/>
          <w:b/>
          <w:bCs/>
          <w:rtl w:val="true"/>
        </w:rPr>
        <w:t>חוק העונשין</w:t>
      </w:r>
      <w:r>
        <w:rPr>
          <w:rFonts w:cs="David;Times New Roman" w:ascii="David;Times New Roman" w:hAnsi="David;Times New Roman"/>
          <w:rtl w:val="true"/>
        </w:rPr>
        <w:t xml:space="preserve">"), </w:t>
      </w:r>
      <w:r>
        <w:rPr>
          <w:rFonts w:ascii="David;Times New Roman" w:hAnsi="David;Times New Roman"/>
          <w:rtl w:val="true"/>
        </w:rPr>
        <w:t>וכן בעבירה של הפרעה לשוטר במילוי תפקידו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לפי </w:t>
      </w:r>
      <w:hyperlink r:id="rId9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275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לחוק העונשין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2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פי עובדות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במועדים הרלוונטיים לכתב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שרר סכסוך בין משפחת ארפאעיה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אליה משתייך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לבין משפחת סביחאת מכפר סאלם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במסגרתו היו מספר אירועי אלימות וירי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בימים שקדמו למתואר בכתב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 xml:space="preserve">בתאריך </w:t>
      </w:r>
      <w:r>
        <w:rPr>
          <w:rFonts w:cs="David;Times New Roman" w:ascii="David;Times New Roman" w:hAnsi="David;Times New Roman"/>
        </w:rPr>
        <w:t>05.04.2020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בסמוך לפני השעה </w:t>
      </w:r>
      <w:r>
        <w:rPr>
          <w:rFonts w:cs="David;Times New Roman" w:ascii="David;Times New Roman" w:hAnsi="David;Times New Roman"/>
        </w:rPr>
        <w:t>15:30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באזור מתחם בתים הסמוך לשטח מיוער שבין כפר סאלם לגדר המערכת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b/>
          <w:b/>
          <w:bCs/>
          <w:rtl w:val="true"/>
        </w:rPr>
        <w:t>המתחם</w:t>
      </w:r>
      <w:r>
        <w:rPr>
          <w:rFonts w:cs="David;Times New Roman" w:ascii="David;Times New Roman" w:hAnsi="David;Times New Roman"/>
          <w:rtl w:val="true"/>
        </w:rPr>
        <w:t xml:space="preserve">"), </w:t>
      </w:r>
      <w:r>
        <w:rPr>
          <w:rFonts w:ascii="David;Times New Roman" w:hAnsi="David;Times New Roman"/>
          <w:rtl w:val="true"/>
        </w:rPr>
        <w:t>נשא הנאשם והוביל אקדח חצי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אוטומטי מסוג </w:t>
      </w:r>
      <w:r>
        <w:rPr>
          <w:rFonts w:cs="David;Times New Roman" w:ascii="David;Times New Roman" w:hAnsi="David;Times New Roman"/>
        </w:rPr>
        <w:t>FN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מספר סידורי </w:t>
      </w:r>
      <w:r>
        <w:rPr>
          <w:rFonts w:cs="David;Times New Roman" w:ascii="David;Times New Roman" w:hAnsi="David;Times New Roman"/>
        </w:rPr>
        <w:t>35253</w:t>
      </w:r>
      <w:r>
        <w:rPr>
          <w:rFonts w:cs="David;Times New Roman" w:ascii="David;Times New Roman" w:hAnsi="David;Times New Roman"/>
        </w:rPr>
        <w:t>L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בקוטר </w:t>
      </w: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מ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מ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rtl w:val="true"/>
        </w:rPr>
        <w:t>האקדח</w:t>
      </w:r>
      <w:r>
        <w:rPr>
          <w:rFonts w:cs="David;Times New Roman" w:ascii="David;Times New Roman" w:hAnsi="David;Times New Roman"/>
          <w:rtl w:val="true"/>
        </w:rPr>
        <w:t xml:space="preserve">"), </w:t>
      </w:r>
      <w:r>
        <w:rPr>
          <w:rFonts w:ascii="David;Times New Roman" w:hAnsi="David;Times New Roman"/>
          <w:rtl w:val="true"/>
        </w:rPr>
        <w:t xml:space="preserve">עת הוא טעון במחסנית מתאימה ובתוכה אחד עשר כדורים בקוטר </w:t>
      </w: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מ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מ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b/>
          <w:b/>
          <w:bCs/>
          <w:rtl w:val="true"/>
        </w:rPr>
        <w:t>המחסנית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הכדורים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בהתאמה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זאת כשהוא אוחז באקדח בידן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בלא רשות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פי דין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האקדח הוא כלי שסוגל לירות כדור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בכוחו להמית אדם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ולפיכך מהווה נשק כהגדרתו בחוק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המחסנית והכדורים מהווים אביזר ותחמושת לנשק כאמור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בהמשך לאמור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הגיעו השוטרים אלעד בניאס ומוהתדי חואלד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b/>
          <w:b/>
          <w:bCs/>
          <w:rtl w:val="true"/>
        </w:rPr>
        <w:t>השוטרים</w:t>
      </w:r>
      <w:r>
        <w:rPr>
          <w:rFonts w:cs="David;Times New Roman" w:ascii="David;Times New Roman" w:hAnsi="David;Times New Roman"/>
          <w:rtl w:val="true"/>
        </w:rPr>
        <w:t xml:space="preserve">") </w:t>
      </w:r>
      <w:r>
        <w:rPr>
          <w:rFonts w:ascii="David;Times New Roman" w:hAnsi="David;Times New Roman"/>
          <w:rtl w:val="true"/>
        </w:rPr>
        <w:t>לאזור המתחם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והבחינו בנאשם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עת הוא רץ עם האקדח בידו לכיוון שטח מיוער הנמצא בסמוך למקום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b/>
          <w:b/>
          <w:bCs/>
          <w:rtl w:val="true"/>
        </w:rPr>
        <w:t>השטח המיוער</w:t>
      </w:r>
      <w:r>
        <w:rPr>
          <w:rFonts w:cs="David;Times New Roman" w:ascii="David;Times New Roman" w:hAnsi="David;Times New Roman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הבחין בשוטרים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המשיך בריצה לכיוון השטח המיוער במטרה לברוח מן השוטרים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זאת כאשר הוא נושא ומוביל את האקדח הטעון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אותו אחז בידו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 המשיך בריצה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גם לאחר שהשוטרים צעקו לעברו מספר פעמים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עצור משטרה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וגם לאחר שביצעו ירי באוויר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לגרום לו לעצור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במהלך בריחתו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בשטח המיוער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השליך הנאשם את האקדח והמחסנית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והמשיך בבריחה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עד אשר נלכד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שוטרים נוספים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לאחר מרדף של כ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cs="David;Times New Roman" w:ascii="David;Times New Roman" w:hAnsi="David;Times New Roman"/>
        </w:rPr>
        <w:t>350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מטרים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בהמשך לכך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נתפסו האקדח עם המחסנית והכדורים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כל זאת עשה הנאשם בכוונה להפריע לשוטרים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כשהם ממלאים תפקידם כחוק או להכשילם בכך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3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כאמור כבר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הגיעו הצדדים להסדר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טיעון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ולפיו הנאשם חזר בו מכפירתו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הודה בעובדות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ולא נקבע כל הסדר לעניין העונש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במועד ההרשעה הוריתי על קבלת תסקיר משירות המבחן בנוגע לנאשם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וביום </w:t>
      </w:r>
      <w:r>
        <w:rPr>
          <w:rFonts w:cs="David;Times New Roman" w:ascii="David;Times New Roman" w:hAnsi="David;Times New Roman"/>
        </w:rPr>
        <w:t>24.01.2021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התקבל התסקיר האמור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4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מן התסקיר עולה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כבן </w:t>
      </w:r>
      <w:r>
        <w:rPr>
          <w:rFonts w:cs="David;Times New Roman" w:ascii="David;Times New Roman" w:hAnsi="David;Times New Roman"/>
        </w:rPr>
        <w:t>20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מאורס ומתגורר בבית הוריו בכפר סאלם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במעלה עירון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טרם מעצרו עבד הנאשם במשך כשנתיים בתחום סלילת כבישים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ועולה מן התסקיר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הנאשם החל לעבוד בגיל </w:t>
      </w:r>
      <w:r>
        <w:rPr>
          <w:rFonts w:cs="David;Times New Roman" w:ascii="David;Times New Roman" w:hAnsi="David;Times New Roman"/>
        </w:rPr>
        <w:t>13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לסייע בפרנסת משפחתו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לצד לימודים במסגרות חינוכיות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נכתב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בעל תעודת </w:t>
      </w:r>
      <w:r>
        <w:rPr>
          <w:rFonts w:cs="David;Times New Roman" w:ascii="David;Times New Roman" w:hAnsi="David;Times New Roman"/>
        </w:rPr>
        <w:t>12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שנות לימוד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אולם הוא לא נבחן בבחינות בגרות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עוד עולה מן התסקיר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משפחת מוצאו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לדבריו מיטיבה ומלוכדת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מונה הורים וכן חמישה אחים ואחיות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מנהלים אורח חיים נורמטיבי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ללא כל מעורבות בפלילים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משפחתו של הנאשם מתקשה לקבל את מעורבותו של הנאשם בפלילים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באשר לעבר העברייני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נכתב בתסקיר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זוהי מעורבותו הראשונה של הנאשם בפלילים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לצד זאת מדגישה כותבת התסקיר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הגם שהנאשם לוקח אחריות מילולית על מעשיו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ניכר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הוא התקשה לבצע התבוננות פנימית במניעיו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ודומה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רב הנסתר על הנגלה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מדיווח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שקיבל שירות המבחן מגורמי הטיפול בבית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המעצר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גלבוע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 xml:space="preserve">שם עצור הנאשם מיום </w:t>
      </w:r>
      <w:r>
        <w:rPr>
          <w:rFonts w:cs="David;Times New Roman" w:ascii="David;Times New Roman" w:hAnsi="David;Times New Roman"/>
        </w:rPr>
        <w:t>20.05.2020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עולה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לחובת הנאשם עבירת משמעת אחת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בגין היותו מעורב בקטטה בתאו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בדיקות השתן שלו נקיות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הוא נמצא בקשר רציף עם גורמי הטיפול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ומגיע לקבוצות אגפיות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ולשיחות מעקב עם העובדת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הסוציאלית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בנוגע להערכת הסיכון לעבריינות והסיכוי לשיקום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נכתב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נוכח חומרת העבירות המיוחסות לנאשם ואופיין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לצד חוסר הבהירות לגבי מניעיו לביצוע העבירות האמורות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ובהיעדר ביטויי מצוקה רגשית חריגה או נזקקות להתערבות טיפולית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אין באפשרות שירות המבחן להמליץ על חלופות ענישה או שיקום במסגרת הקהילה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העשויות להפחית סיכון להישנות עבירות דומות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5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 xml:space="preserve">ביום </w:t>
      </w:r>
      <w:r>
        <w:rPr>
          <w:rFonts w:cs="David;Times New Roman" w:ascii="David;Times New Roman" w:hAnsi="David;Times New Roman"/>
        </w:rPr>
        <w:t>28.01.2021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נשמעו טיעוני הצדדים לעונש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הגיש טיעונים לעונש בכתב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אסופת פסקי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דין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בהם מתוארים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לטענתו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מקרים דומים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וכן דו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ח ביקורת מיוחד של מבקר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המדינה בעניין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cs="David;Times New Roman" w:ascii="David;Times New Roman" w:hAnsi="David;Times New Roman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בנוסף ביקש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להדגיש כמה מן הטיעונים לעונש בעל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פה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השיקול המרכזי שיש ליתן עליו את הדעת הוא סכנת הנפשות הכרוכה בנשיאת הנזק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הואיל והשאלה האם העבירה מסתיימת בפגיעה בחיי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אדם קשורה למזל בלבד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הנשיאה הייתה ברף גבוה הואיל והנשק היה טעון בידו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וזאת בניגוד למצבים בהם מדובר בנשיאת 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מצוי בתא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בתיק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 שאין בו תחמושת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אך כפסע היה 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בין נשיאת הנשק לבין ירי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אין לדעת כיצד היה מסתיים האירוע אלמלא הספיקו השוטרים לעצור את הנאשם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האירוע מושא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בוצע על רקע סכסוך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וכעולה מכתב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בוצעו במסגרת הסכסוך האמור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מעשי אלימות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ובנוסף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על בית משפט ליתן את דעתו לנתונים אלו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קביעת מתחם ענישה שהולם את חומרת המעשים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על נתחם הענישה 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אליבא דב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לנוע בין שנתיים לארבע שנות מאסר בפועל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באשר לקביעת העונש בתוך המתחם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עתרה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לענישה ברף בינוני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עת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מן הצד האחד אין לנאשם עבר נקי והוא נטל אחריות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אולם מן הצד השני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תסקיר שירות המבחן מטריד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נטילת האחריות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לטענת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איננה מלאה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ודומה שהנאשם איננו מוסר מידע מלא אודות האופן בו השיג את הנשק ומעורבותו באירוע מושא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בנוסף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אין כל וודאות שהנאשם יפיק לקחים מן המקרה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יש לקחת בחשבון בעניינו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גם שיקולי הרתעה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הודגש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הודאתו של הנאשם לא ניתנה בהזדמנות הראשונה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אלא רק לאחר שמיעת חלק מעדי התביעה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הגיש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כאמור כבר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דו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ח של מבקר המדינה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לפיו אחד מן הקשיים במיגור עבירות אלימות וירי בחברה הערבית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נעוץ בקושי באכיפה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אחת מן ההמלצות בדו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ח האמור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הייתה להגביר את האכיפה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6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הגיש אף הוא פסיקה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שלטענתו דומה למקרה שבענייננו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אין בעובדה שהנאשם בחר לנהל הליך הוכחות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מכיוון שהייתה מחלוקת לגבי אחד מסעיפי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כדי להחמיר בעונשו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וזאת בשים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לב לכך שעת נפתרה המחלוקת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הודה הנאשם בעובדות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 בהזדמנות הראשונה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הודאתו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אליבא דסנגורו</w:t>
      </w:r>
      <w:r>
        <w:rPr>
          <w:rFonts w:cs="David;Times New Roman" w:ascii="David;Times New Roman" w:hAnsi="David;Times New Roman"/>
          <w:rtl w:val="true"/>
        </w:rPr>
        <w:t xml:space="preserve">,  </w:t>
      </w:r>
      <w:r>
        <w:rPr>
          <w:rFonts w:ascii="David;Times New Roman" w:hAnsi="David;Times New Roman"/>
          <w:rtl w:val="true"/>
        </w:rPr>
        <w:t>מלאה בחרטה כנה וברצון להשתקם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לטענת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אף יש ליתן את הדעת לכך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שעל אף שניתנה לנאשם אפשרות להשתחרר לחלופת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מעצר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בחר להישאר במעצר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ולרצות את עונשו בגין העבירות אותן ביצע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לעניין חומרת העבירה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הנאשם נשא את הנשק ביער פתוח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ולא במרכז הומה אדם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אמנם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הודה הנאשם במסגרת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 בסכסוך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אך מן העדויות שנשמעו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עולה</w:t>
      </w:r>
      <w:r>
        <w:rPr>
          <w:rFonts w:cs="David;Times New Roman" w:ascii="David;Times New Roman" w:hAnsi="David;Times New Roman"/>
          <w:rtl w:val="true"/>
        </w:rPr>
        <w:t xml:space="preserve">,  </w:t>
      </w:r>
      <w:r>
        <w:rPr>
          <w:rFonts w:ascii="David;Times New Roman" w:hAnsi="David;Times New Roman"/>
          <w:rtl w:val="true"/>
        </w:rPr>
        <w:t>שאין לנאשם קשר לסכסוך האמור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האקדח אמנם היה טעון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אולם אין מדובר 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בנשק כהגדרתו או תת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מקלע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בהם קבעה הפסיקה מתחם ענישה שנע בין </w:t>
      </w:r>
      <w:r>
        <w:rPr>
          <w:rFonts w:cs="David;Times New Roman" w:ascii="David;Times New Roman" w:hAnsi="David;Times New Roman"/>
        </w:rPr>
        <w:t>18-36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 xml:space="preserve">כ הנאשם עתר לקביעת מתחם ענישה שנע בין </w:t>
      </w:r>
      <w:r>
        <w:rPr>
          <w:rFonts w:cs="David;Times New Roman" w:ascii="David;Times New Roman" w:hAnsi="David;Times New Roman"/>
        </w:rPr>
        <w:t>10-18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וזאת בשים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לב לנסיבות  המעשה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נסיבות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וסוג הנשק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עוד ובנוסף עתר הסנגור לקבוע את הענישה בחלקו התחתון של המתחם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בשים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לב לכך שהנאשם עצור מיום </w:t>
      </w:r>
      <w:r>
        <w:rPr>
          <w:rFonts w:cs="David;Times New Roman" w:ascii="David;Times New Roman" w:hAnsi="David;Times New Roman"/>
        </w:rPr>
        <w:t>05.04.2020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הואיל  ומדובר בנאשם ללא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זו הסתבכותו הראשונה עם החוק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משפחתו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כעולה מתסקיר שירות המבחן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מעולם לא הסתבכה בפלילים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תומכת ומוכנה לדאוג לנאשם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בנוגע לתסקיר שירות המבחן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כותבת התסקיר לא המליצה על מסגרת טיפולית או שיקומית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רק בשל חומרת העבירה והעובדה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היא לא האמינה לגרסתו הנכונה של הנאשם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לטענת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עורכת התסקיר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 נתנה דעתה לגילו הצעיר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ולעובדה שענישה מאחורי סורג ובריח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והיכרותו עם חברה עבריינית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עלולה לסבך אותו ולחשוף אותו לעולם הפשיעה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לקחת בחשבון גם את העובדה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שאין לנאשם תיקים פתוחים או הסתבכויות במהלך ריצוי העונש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מלבד שימוע אחד בתחילת מעצר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הנאשם תומך בבית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המעצר באסירים חדשים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יש להתחשב גם בעובדה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בענייננו אין קורבן ספציפי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מדובר בעבירה רגעית ולא נמשכת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הנאשם התחרט והודה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כמו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כן הדגיש הסנגור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בעניינו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אף להתחשב בגילו הצעיר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הפנה ל</w:t>
      </w:r>
      <w:r>
        <w:rPr>
          <w:rFonts w:cs="David;Times New Roman" w:ascii="David;Times New Roman" w:hAnsi="David;Times New Roman"/>
          <w:rtl w:val="true"/>
        </w:rPr>
        <w:t>-</w:t>
      </w:r>
      <w:hyperlink r:id="rId10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46365-11-19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ארפאעיה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23.09.2020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שם דובר על נאשם שנשא בנשק 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אקדח טעון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ובית המשפט גזר עליו </w:t>
      </w: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בדרך של עבודת שירות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עוד 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ל</w:t>
      </w:r>
      <w:r>
        <w:rPr>
          <w:rFonts w:cs="David;Times New Roman" w:ascii="David;Times New Roman" w:hAnsi="David;Times New Roman"/>
          <w:rtl w:val="true"/>
        </w:rPr>
        <w:t xml:space="preserve">- </w:t>
      </w:r>
      <w:hyperlink r:id="rId11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887/20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מתאני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29.07.2020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שם אמנם שונתה העבירה להחזקה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אך לטענת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מדובר בעבירות דומות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בית המשפט העליון התערב בעונש שנגזר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בית המשפט המחוזי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וגזר </w:t>
      </w: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בדרך של עבודות שירות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עוד 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ל</w:t>
      </w:r>
      <w:r>
        <w:rPr>
          <w:rFonts w:cs="David;Times New Roman" w:ascii="David;Times New Roman" w:hAnsi="David;Times New Roman"/>
          <w:rtl w:val="true"/>
        </w:rPr>
        <w:t>-</w:t>
      </w:r>
      <w:hyperlink r:id="rId12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44381-05-20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סאלח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27.10.2020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שם דובר על נאשם שנשא בנשק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אקדח טעון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בית משפט המחוזי גזר עליו </w:t>
      </w:r>
      <w:r>
        <w:rPr>
          <w:rFonts w:cs="David;Times New Roman" w:ascii="David;Times New Roman" w:hAnsi="David;Times New Roman"/>
        </w:rPr>
        <w:t>14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-</w:t>
      </w:r>
      <w:hyperlink r:id="rId13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2006/12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אסדי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28.03.2012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ascii="David;Times New Roman" w:hAnsi="David;Times New Roman"/>
          <w:rtl w:val="true"/>
        </w:rPr>
        <w:t xml:space="preserve">גזר בית המשפט העליון </w:t>
      </w:r>
      <w:r>
        <w:rPr>
          <w:rFonts w:cs="David;Times New Roman" w:ascii="David;Times New Roman" w:hAnsi="David;Times New Roman"/>
        </w:rPr>
        <w:t>15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 על נאשם שנשא 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ואף בעניין זה מדובר היה בסכסוך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עוד ובנוסף 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ל</w:t>
      </w:r>
      <w:r>
        <w:rPr>
          <w:rFonts w:cs="David;Times New Roman" w:ascii="David;Times New Roman" w:hAnsi="David;Times New Roman"/>
          <w:rtl w:val="true"/>
        </w:rPr>
        <w:t>-</w:t>
      </w:r>
      <w:hyperlink r:id="rId14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2243/17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אכראם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29.10.2017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שם מדובר על נאשם שנשא בנשק טעון לאחר שנורו מספר יריות לעבר מעסיקו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בית משפט קבע מתחם שנע בין </w:t>
      </w:r>
      <w:r>
        <w:rPr>
          <w:rFonts w:cs="David;Times New Roman" w:ascii="David;Times New Roman" w:hAnsi="David;Times New Roman"/>
        </w:rPr>
        <w:t>12-30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וגזר על הנאשם </w:t>
      </w:r>
      <w:r>
        <w:rPr>
          <w:rFonts w:cs="David;Times New Roman" w:ascii="David;Times New Roman" w:hAnsi="David;Times New Roman"/>
        </w:rPr>
        <w:t>12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7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הנאשם עצמו העיד וטען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הוא מצר על מעשיו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סביבת 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הכלא אינה מתאימה לו</w:t>
      </w:r>
      <w:r>
        <w:rPr>
          <w:rFonts w:cs="David;Times New Roman" w:ascii="David;Times New Roman" w:hAnsi="David;Times New Roman"/>
          <w:rtl w:val="true"/>
        </w:rPr>
        <w:t xml:space="preserve">.  </w:t>
      </w:r>
      <w:r>
        <w:rPr>
          <w:rFonts w:ascii="David;Times New Roman" w:hAnsi="David;Times New Roman"/>
          <w:rtl w:val="true"/>
        </w:rPr>
        <w:t>הנאשם ביקש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בית המשפט יתחשב בעובדה שהוא נעדר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ובכך שהוא מנסה להשתקם ואף משתתף בכל הפגישות הטיפוליות בבית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המעצר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;Times New Roman" w:ascii="David;Times New Roman" w:hAnsi="David;Times New Roman"/>
        </w:rPr>
        <w:t>8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כאמור כבר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אף הגיש טיעונים לעונש בכתב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בהם עתר לקביעת מתחם ענישה כולל שנע בין </w:t>
      </w:r>
      <w:r>
        <w:rPr>
          <w:rFonts w:cs="David;Times New Roman" w:ascii="David;Times New Roman" w:hAnsi="David;Times New Roman"/>
        </w:rPr>
        <w:t>2-4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שנים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וכן למאסרים מותנים שיתייחסו לעבירות בנשק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עבירות כלפי 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וקנס משמעותי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אף 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מתחם זה מתאים גם להנחיית פרקליט המדינה מס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9.16</w:t>
      </w:r>
      <w:r>
        <w:rPr>
          <w:rFonts w:cs="David;Times New Roman" w:ascii="David;Times New Roman" w:hAnsi="David;Times New Roman"/>
          <w:rtl w:val="true"/>
        </w:rPr>
        <w:t xml:space="preserve"> - </w:t>
      </w:r>
      <w:r>
        <w:rPr>
          <w:rFonts w:ascii="David;Times New Roman" w:hAnsi="David;Times New Roman"/>
          <w:rtl w:val="true"/>
        </w:rPr>
        <w:t xml:space="preserve">מדיניות ענישה בעבירות נשק ומטעני חבלה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b/>
          <w:b/>
          <w:bCs/>
          <w:rtl w:val="true"/>
        </w:rPr>
        <w:t>הנחיית פרקליט המדינה</w:t>
      </w:r>
      <w:r>
        <w:rPr>
          <w:rFonts w:cs="David;Times New Roman" w:ascii="David;Times New Roman" w:hAnsi="David;Times New Roman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לעניין מדיניות הענישה 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להנחיית פרקליט המדינה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ממנה עולה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קיים צורך בהעלאת רמת הענישה הנוהגת בעבירות נשק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עוד ובנוסף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גם פסיקת בית המשפט העליון קובעת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יש להחמיר את הענישה בעבירות נשק בשל היותן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מכת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מדינה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וכי ריבוי התיקים בבית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משפט זה ובמחוז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לרבות בעניינם של נאשמים צעירים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וכן של נאשמים נעדרי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ממחיש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מדובר במכת אזור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הערכים החברתיים שנפגעו באירוע מושא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בין היתר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חיי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אדם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שלום הציבור ושלטון החוק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עת קיים אינטרס ציבורי בגיבוי מלאכת האכיפה של השוטרים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ענישה מרתיעה על הפרעה לשוטר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עוד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בית המשפט העליון נתן דעתו בפסקי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דין רבים להשלכות הרות האסון בעבירות נשק ובסיכון הגלום בהם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הפנה בסיכומיו בכתב לנתונים המדאיגים העולים מדו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ח מבקר המדינה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אשר פורסם ביום </w:t>
      </w:r>
      <w:r>
        <w:rPr>
          <w:rFonts w:cs="David;Times New Roman" w:ascii="David;Times New Roman" w:hAnsi="David;Times New Roman"/>
        </w:rPr>
        <w:t>15.08.2018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לפיהם אחד מן הקשיים במיגור עבירות אלימות וירי בחברה הערבית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נעוץ בקושי באכיפה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באשר לנסיבות ביצוע העבירה טען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יש ליתן משקל לכך שהנאשם נשא והוביל את הנשק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שהוא בידו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טעון ומוכן לירי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וכן לכך שביצוע העבירה היה באזור מגורים בשעות הצהריים בשל סכסוך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האקדח מושא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נשק מסוכן אשר באפשרותו להמית אדם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והצורך בנשיאתו והובלתו לוטה בערפל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ואין זה מן הנמנע אליבא דב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שהנאשם תכנן להשתמש בו למטרות לא כשרות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מקל וחומר עת יש סכסוך בין משפחתו של הנאשם למשפחה אחרת כמתואר בכתב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עוד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בנסיבות הקשורות לביצוע העבירה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ליתן משקל גם לשילוב של עבירת הנשק עם עבירה של הפרעה לשוטרים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שהיא כשלעצמה אינה מצויה ברף הנמוך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בשים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לב לעובדות המתוארות בכתב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הפנה ל</w:t>
      </w:r>
      <w:r>
        <w:rPr>
          <w:rFonts w:cs="David;Times New Roman" w:ascii="David;Times New Roman" w:hAnsi="David;Times New Roman"/>
          <w:rtl w:val="true"/>
        </w:rPr>
        <w:t>-</w:t>
      </w:r>
      <w:hyperlink r:id="rId15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2564/19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אזברגה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18.07.2019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 xml:space="preserve">שם נקבע מתחם ענישה שנע בין </w:t>
      </w:r>
      <w:r>
        <w:rPr>
          <w:rFonts w:cs="David;Times New Roman" w:ascii="David;Times New Roman" w:hAnsi="David;Times New Roman"/>
        </w:rPr>
        <w:t>12-40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בגין נשיאת אקדח בקוטר </w:t>
      </w: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מ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מ באמצעות רכב בירושלים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 הודה במעשיו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היהה ללא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ותסקיר שירות מבחן שלילי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 xml:space="preserve">בית המשפט גזר עליו </w:t>
      </w:r>
      <w:r>
        <w:rPr>
          <w:rFonts w:cs="David;Times New Roman" w:ascii="David;Times New Roman" w:hAnsi="David;Times New Roman"/>
        </w:rPr>
        <w:t>16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בית המשפט העליון דחה את הערעור שהגיש הנאשם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עוד 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ל</w:t>
      </w:r>
      <w:r>
        <w:rPr>
          <w:rFonts w:cs="David;Times New Roman" w:ascii="David;Times New Roman" w:hAnsi="David;Times New Roman"/>
          <w:rtl w:val="true"/>
        </w:rPr>
        <w:t>-</w:t>
      </w:r>
      <w:hyperlink r:id="rId16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390/17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סער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03.07.02017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שם הורשע המערער גם בעבירות הובלה ונשיאה של 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וכן בעבירה של נהיגה ברכב בדרך נמהרת או רשלנית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לפי </w:t>
      </w:r>
      <w:hyperlink r:id="rId17">
        <w:r>
          <w:rPr>
            <w:rStyle w:val="Hyperlink"/>
            <w:rFonts w:ascii="David;Times New Roman" w:hAnsi="David;Times New Roman"/>
            <w:rtl w:val="true"/>
          </w:rPr>
          <w:t xml:space="preserve">סעיף </w:t>
        </w:r>
        <w:r>
          <w:rPr>
            <w:rStyle w:val="Hyperlink"/>
            <w:rFonts w:cs="David;Times New Roman" w:ascii="David;Times New Roman" w:hAnsi="David;Times New Roman"/>
          </w:rPr>
          <w:t>338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 xml:space="preserve"> (</w:t>
        </w:r>
        <w:r>
          <w:rPr>
            <w:rStyle w:val="Hyperlink"/>
            <w:rFonts w:ascii="David;Times New Roman" w:hAnsi="David;Times New Roman"/>
            <w:rtl w:val="true"/>
          </w:rPr>
          <w:t>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)(</w:t>
        </w:r>
        <w:r>
          <w:rPr>
            <w:rStyle w:val="Hyperlink"/>
            <w:rFonts w:cs="David;Times New Roman" w:ascii="David;Times New Roman" w:hAnsi="David;Times New Roman"/>
          </w:rPr>
          <w:t>1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</w:t>
      </w:r>
      <w:hyperlink r:id="rId18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ובית המשפט המחוזי גזר עליו </w:t>
      </w:r>
      <w:r>
        <w:rPr>
          <w:rFonts w:cs="David;Times New Roman" w:ascii="David;Times New Roman" w:hAnsi="David;Times New Roman"/>
        </w:rPr>
        <w:t>40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כמו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כן הופעל עונש מאסר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תנאי של </w:t>
      </w:r>
      <w:r>
        <w:rPr>
          <w:rFonts w:cs="David;Times New Roman" w:ascii="David;Times New Roman" w:hAnsi="David;Times New Roman"/>
        </w:rPr>
        <w:t>12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חודשים מחציתו בחופף ומחציתו במצטבר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שסך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הכול נגזרו על הנאשם </w:t>
      </w:r>
      <w:r>
        <w:rPr>
          <w:rFonts w:cs="David;Times New Roman" w:ascii="David;Times New Roman" w:hAnsi="David;Times New Roman"/>
        </w:rPr>
        <w:t>46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בית המשפט העליון קיבל את הערעור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מכיוון שהנימוקים בגזר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הדין הסתמכו על עובדות שנמחקו מכתב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</w:t>
      </w:r>
      <w:r>
        <w:rPr>
          <w:rFonts w:cs="David;Times New Roman" w:ascii="David;Times New Roman" w:hAnsi="David;Times New Roman"/>
          <w:rtl w:val="true"/>
        </w:rPr>
        <w:t xml:space="preserve">,  </w:t>
      </w:r>
      <w:r>
        <w:rPr>
          <w:rFonts w:ascii="David;Times New Roman" w:hAnsi="David;Times New Roman"/>
          <w:rtl w:val="true"/>
        </w:rPr>
        <w:t>וגזר על הנאשם חלף העונש שהוטל עליו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cs="David;Times New Roman" w:ascii="David;Times New Roman" w:hAnsi="David;Times New Roman"/>
        </w:rPr>
        <w:t>34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ובסך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הכול </w:t>
      </w:r>
      <w:r>
        <w:rPr>
          <w:rFonts w:cs="David;Times New Roman" w:ascii="David;Times New Roman" w:hAnsi="David;Times New Roman"/>
        </w:rPr>
        <w:t>40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עוד ובנוסף 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ל</w:t>
      </w:r>
      <w:r>
        <w:rPr>
          <w:rFonts w:cs="David;Times New Roman" w:ascii="David;Times New Roman" w:hAnsi="David;Times New Roman"/>
          <w:rtl w:val="true"/>
        </w:rPr>
        <w:t>-</w:t>
      </w:r>
      <w:hyperlink r:id="rId19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3877/16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פאדי ג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באלי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ascii="David;Times New Roman" w:hAnsi="David;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17.11.2016</w:t>
      </w:r>
      <w:r>
        <w:rPr>
          <w:rFonts w:cs="David;Times New Roman" w:ascii="David;Times New Roman" w:hAnsi="David;Times New Roman"/>
          <w:rtl w:val="true"/>
        </w:rPr>
        <w:t>) (</w:t>
      </w:r>
      <w:r>
        <w:rPr>
          <w:rFonts w:ascii="David;Times New Roman" w:hAnsi="David;Times New Roman"/>
          <w:rtl w:val="true"/>
        </w:rPr>
        <w:t>להלן</w:t>
      </w:r>
      <w:r>
        <w:rPr>
          <w:rFonts w:cs="David;Times New Roman" w:ascii="David;Times New Roman" w:hAnsi="David;Times New Roman"/>
          <w:rtl w:val="true"/>
        </w:rPr>
        <w:t>: "</w:t>
      </w:r>
      <w:r>
        <w:rPr>
          <w:rFonts w:ascii="David;Times New Roman" w:hAnsi="David;Times New Roman"/>
          <w:b/>
          <w:b/>
          <w:bCs/>
          <w:rtl w:val="true"/>
        </w:rPr>
        <w:t>עניין ג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באלי</w:t>
      </w:r>
      <w:r>
        <w:rPr>
          <w:rFonts w:cs="David;Times New Roman" w:ascii="David;Times New Roman" w:hAnsi="David;Times New Roman"/>
          <w:rtl w:val="true"/>
        </w:rPr>
        <w:t xml:space="preserve">"), </w:t>
      </w:r>
      <w:r>
        <w:rPr>
          <w:rFonts w:ascii="David;Times New Roman" w:hAnsi="David;Times New Roman"/>
          <w:rtl w:val="true"/>
        </w:rPr>
        <w:t>שם דחה בית המשפט העליון את ערעורו של המערער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בעל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אשר הורשע בעבירה של נשיאת אקדח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מחסנית וכדורים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ונגזרו עליו </w:t>
      </w:r>
      <w:r>
        <w:rPr>
          <w:rFonts w:cs="David;Times New Roman" w:ascii="David;Times New Roman" w:hAnsi="David;Times New Roman"/>
        </w:rPr>
        <w:t>34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עת מתחם הענישה נקבע בין </w:t>
      </w:r>
      <w:r>
        <w:rPr>
          <w:rFonts w:cs="David;Times New Roman" w:ascii="David;Times New Roman" w:hAnsi="David;Times New Roman"/>
        </w:rPr>
        <w:t>24-48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לטענת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לגזור את עונשו של הנאשם בין הרף הבינוני לבין הרף התחתון של המחם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וזאת בשים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לב לגילו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היעדר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והעובדה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הודה לאחר שמיעת חלק מן העדויות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מנגד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כך נטען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ליתן משקל גם לנטילת האחריות החלקית של הנאשם למעשיו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המידע החסר שמסר לשירות המבחן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ותסקיר שירות המבחן עצמו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בפסיקה עקבית של בית המשפט העליון נקבע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יש ליתן חומרה יתרה לעבירות הנשק הואיל וסכנה גבוהה נשקפת מהן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וזאת אף בשים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לב לגישת </w:t>
      </w:r>
      <w:r>
        <w:rPr>
          <w:rFonts w:ascii="David;Times New Roman" w:hAnsi="David;Times New Roman"/>
          <w:spacing w:val="10"/>
          <w:rtl w:val="true"/>
        </w:rPr>
        <w:t>המחוקק</w:t>
      </w:r>
      <w:r>
        <w:rPr>
          <w:rFonts w:cs="David;Times New Roman" w:ascii="David;Times New Roman" w:hAnsi="David;Times New Roman"/>
          <w:spacing w:val="10"/>
          <w:rtl w:val="true"/>
        </w:rPr>
        <w:t xml:space="preserve">, </w:t>
      </w:r>
      <w:r>
        <w:rPr>
          <w:rFonts w:ascii="David;Times New Roman" w:hAnsi="David;Times New Roman"/>
          <w:spacing w:val="10"/>
          <w:rtl w:val="true"/>
        </w:rPr>
        <w:t>אשר קבע לצידן של עבירות אלו ענישה מחמירה</w:t>
      </w:r>
      <w:r>
        <w:rPr>
          <w:rFonts w:cs="David;Times New Roman" w:ascii="David;Times New Roman" w:hAnsi="David;Times New Roman"/>
          <w:spacing w:val="1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51"/>
        <w:spacing w:lineRule="auto" w:line="360"/>
        <w:ind w:start="793" w:end="0"/>
        <w:jc w:val="both"/>
        <w:rPr/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אפנה לדבריו של כב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השופט 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אלרון 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-</w:t>
      </w:r>
      <w:hyperlink r:id="rId20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spacing w:val="0"/>
          <w:sz w:val="24"/>
          <w:sz w:val="24"/>
          <w:szCs w:val="24"/>
          <w:rtl w:val="true"/>
        </w:rPr>
        <w:t>סובח נ</w:t>
      </w:r>
      <w:r>
        <w:rPr>
          <w:rFonts w:cs="David;Times New Roman" w:ascii="David;Times New Roman" w:hAnsi="David;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5.11.2019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),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בפסקה </w:t>
      </w:r>
      <w:r>
        <w:rPr>
          <w:rFonts w:cs="David;Times New Roman" w:ascii="David;Times New Roman" w:hAnsi="David;Times New Roman"/>
          <w:sz w:val="24"/>
          <w:szCs w:val="24"/>
        </w:rPr>
        <w:t>16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start="793"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spacing w:before="0" w:after="420"/>
        <w:ind w:start="1440" w:end="0"/>
        <w:jc w:val="both"/>
        <w:textAlignment w:val="baseline"/>
        <w:rPr/>
      </w:pPr>
      <w:r>
        <w:rPr>
          <w:rFonts w:ascii="David;Times New Roman" w:hAnsi="David;Times New Roman" w:cs="David;Times New Roman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 w:cs="David;Times New Roman"/>
          <w:b/>
          <w:b/>
          <w:bCs/>
          <w:rtl w:val="true"/>
        </w:rPr>
        <w:t>ראו למשל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: </w:t>
      </w:r>
      <w:r>
        <w:rPr>
          <w:rFonts w:ascii="David;Times New Roman" w:hAnsi="David;Times New Roman" w:cs="David;Times New Roman"/>
          <w:b/>
          <w:b/>
          <w:bCs/>
          <w:rtl w:val="true"/>
        </w:rPr>
        <w:t>דו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rtl w:val="true"/>
        </w:rPr>
        <w:t xml:space="preserve">ח מבקר המדינה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ascii="David;Times New Roman" w:hAnsi="David;Times New Roman" w:cs="David;Times New Roman"/>
          <w:b/>
          <w:b/>
          <w:bCs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</w:rPr>
        <w:t>28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(</w:t>
      </w:r>
      <w:r>
        <w:rPr>
          <w:rFonts w:cs="David;Times New Roman" w:ascii="David;Times New Roman" w:hAnsi="David;Times New Roman"/>
          <w:b/>
          <w:bCs/>
        </w:rPr>
        <w:t>2018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)). </w:t>
      </w:r>
    </w:p>
    <w:p>
      <w:pPr>
        <w:pStyle w:val="Ruller41"/>
        <w:ind w:start="1440"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על רקע המציאות אותה אנו חווים למרבה הצער מדי יום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....</w:t>
      </w:r>
    </w:p>
    <w:p>
      <w:pPr>
        <w:pStyle w:val="Ruller41"/>
        <w:ind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/>
      </w:pP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 xml:space="preserve">דברים אלו אף באו לידי ביטוי לאחרונה בדברי הנשיאה </w:t>
      </w:r>
      <w:r>
        <w:rPr>
          <w:rFonts w:ascii="David;Times New Roman" w:hAnsi="David;Times New Roman" w:cs="David;Times New Roman"/>
          <w:b/>
          <w:b/>
          <w:bCs/>
          <w:spacing w:val="0"/>
          <w:sz w:val="24"/>
          <w:sz w:val="24"/>
          <w:szCs w:val="24"/>
          <w:rtl w:val="true"/>
        </w:rPr>
        <w:t>א</w:t>
      </w:r>
      <w:r>
        <w:rPr>
          <w:rFonts w:cs="David;Times New Roman" w:ascii="David;Times New Roman" w:hAnsi="David;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spacing w:val="0"/>
          <w:sz w:val="24"/>
          <w:sz w:val="24"/>
          <w:szCs w:val="24"/>
          <w:rtl w:val="true"/>
        </w:rPr>
        <w:t>חיות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 xml:space="preserve"> בטקס פתיחת שנת המשפט הנוכחית של לשכת עורכי הדין בנצרת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end="1282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Ruller51"/>
        <w:spacing w:lineRule="auto" w:line="360"/>
        <w:ind w:start="2160" w:end="1282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מערכת בתי המשפט משקיעה מאמצים רבים בתחום זה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".</w:t>
      </w:r>
    </w:p>
    <w:p>
      <w:pPr>
        <w:pStyle w:val="Ruller41"/>
        <w:ind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בהתאם לכך ולנוכח ריבוי מקרי הירי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יש לנקוט במדיניות ענישה מחמירה כלפי ביצוע עבירות החזקת נשק שלא כדין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ועל אחת כמה וכמה שימוש בנשק חם ופציעתם של קורבנות שונים עקב כך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כמו גם להגעתו של נשק זה לגורמים עויינים ובכללם גורמי טרור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.</w:t>
      </w:r>
    </w:p>
    <w:p>
      <w:pPr>
        <w:pStyle w:val="Ruller41"/>
        <w:ind w:start="1440" w:end="0"/>
        <w:jc w:val="both"/>
        <w:rPr>
          <w:sz w:val="22"/>
        </w:rPr>
      </w:pP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נמצא אפוא כי בנסיבות דהיום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ראוי ונכון להחמיר את מדיניות הענישה הנוהגת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".</w:t>
      </w:r>
    </w:p>
    <w:p>
      <w:pPr>
        <w:pStyle w:val="Ruller41"/>
        <w:ind w:start="144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51"/>
        <w:spacing w:lineRule="auto" w:line="360"/>
        <w:ind w:start="793"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וכן לדבריו של כב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השופט מ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מזוז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היא התשתית ו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הגורם בלעדו איין</w:t>
      </w:r>
      <w:r>
        <w:rPr>
          <w:rFonts w:cs="David;Times New Roman" w:ascii="David;Times New Roman" w:hAnsi="David;Times New Roman"/>
          <w:b/>
          <w:bCs/>
          <w:rtl w:val="true"/>
        </w:rPr>
        <w:t>' (</w:t>
      </w:r>
      <w:r>
        <w:rPr>
          <w:rFonts w:cs="David;Times New Roman" w:ascii="David;Times New Roman" w:hAnsi="David;Times New Roman"/>
          <w:b/>
          <w:bCs/>
        </w:rPr>
        <w:t>causa sine qua non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 </w:t>
      </w:r>
      <w:r>
        <w:rPr>
          <w:rFonts w:ascii="David;Times New Roman" w:hAnsi="David;Times New Roman"/>
          <w:b/>
          <w:b/>
          <w:bCs/>
          <w:rtl w:val="true"/>
        </w:rPr>
        <w:t>למגוון רחב של עבירות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החל בעבירות איומים ושוד מזוין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המשך בעבירות גרימת חבלה חמורה וכלה בעבירות המתה 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[...] </w:t>
      </w:r>
      <w:r>
        <w:rPr>
          <w:rFonts w:ascii="David;Times New Roman" w:hAnsi="David;Times New Roman"/>
          <w:b/>
          <w:b/>
          <w:bCs/>
          <w:rtl w:val="true"/>
        </w:rPr>
        <w:t>על כן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מעבר למאמץ 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לשים יד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על כלי הנשק הבלתי חוקיים הרבים שבידי הציבור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גם ענישה מחמירה ומרתיעה בעבירות נשק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לרבות על עצם החזקה או רכישה שלא כדין של נשק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[...] </w:t>
      </w:r>
      <w:r>
        <w:rPr>
          <w:rFonts w:ascii="David;Times New Roman" w:hAnsi="David;Times New Roman"/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בבחינת </w:t>
      </w:r>
      <w:r>
        <w:rPr>
          <w:rFonts w:cs="David;Times New Roman" w:ascii="David;Times New Roman" w:hAnsi="David;Times New Roman"/>
          <w:b/>
          <w:bCs/>
          <w:rtl w:val="true"/>
        </w:rPr>
        <w:t>'</w:t>
      </w:r>
      <w:r>
        <w:rPr>
          <w:rFonts w:ascii="David;Times New Roman" w:hAnsi="David;Times New Roman"/>
          <w:b/>
          <w:b/>
          <w:bCs/>
          <w:rtl w:val="true"/>
        </w:rPr>
        <w:t>ייבוש הביצה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המשמשת ערס לגידולן של תופעות אלה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מהלך כזה מחייב הירתמות גם של בתי המשפט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על ידי ענישה מחמירה ומרתיעה לעבירות נשק בלתי חוקי באשר הן </w:t>
      </w:r>
      <w:r>
        <w:rPr>
          <w:rFonts w:cs="David;Times New Roman" w:ascii="David;Times New Roman" w:hAnsi="David;Times New Roman"/>
          <w:b/>
          <w:bCs/>
          <w:rtl w:val="true"/>
        </w:rPr>
        <w:t>[...]"</w:t>
      </w:r>
    </w:p>
    <w:p>
      <w:pPr>
        <w:pStyle w:val="Normal"/>
        <w:spacing w:lineRule="auto" w:line="360"/>
        <w:ind w:start="1440" w:end="0"/>
        <w:jc w:val="both"/>
        <w:rPr>
          <w:rFonts w:ascii="David;Times New Roman" w:hAnsi="David;Times New Roman" w:cs="David;Times New Roman"/>
          <w:b/>
          <w:bCs/>
        </w:rPr>
      </w:pPr>
      <w:r>
        <w:rPr>
          <w:rFonts w:cs="David;Times New Roman" w:ascii="David;Times New Roman" w:hAnsi="David;Times New Roman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נשכח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לצד עבירות הנשק בהן הורשע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הורשע אף בעבירה של הפרעה לשוטר במילוי תפקידו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וגם לכך יש ליתן את הדעת</w:t>
      </w:r>
      <w:r>
        <w:rPr>
          <w:rFonts w:cs="David;Times New Roman" w:ascii="David;Times New Roman" w:hAnsi="David;Times New Roman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10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במעשיו פגע הנאשם בביטחון הפרט והציבור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ובשלומו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ודוק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ראשית נשא הנאשם והוביל אקדח חצי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אוטומטי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טעון</w:t>
      </w:r>
      <w:r>
        <w:rPr>
          <w:rFonts w:ascii="David;Times New Roman" w:hAnsi="David;Times New Roman"/>
          <w:rtl w:val="true"/>
        </w:rPr>
        <w:t xml:space="preserve"> במחסנית מתאימה ובתוכה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אחד עשר כדורים</w:t>
      </w:r>
      <w:r>
        <w:rPr>
          <w:rFonts w:ascii="David;Times New Roman" w:hAnsi="David;Times New Roman"/>
          <w:rtl w:val="true"/>
        </w:rPr>
        <w:t xml:space="preserve"> בקוטר </w:t>
      </w:r>
      <w:r>
        <w:rPr>
          <w:rFonts w:cs="David;Times New Roman" w:ascii="David;Times New Roman" w:hAnsi="David;Times New Roman"/>
        </w:rPr>
        <w:t>9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מ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מ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בלא רשות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פי דין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בהמשך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עת הגיעו השוטרים למקום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הם הבחינו בנאשם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כשהוא רץ עם האקדח בידו לכיוון שטח מיוער הנמצא בסמוך למקום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אם לא די בכך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הרי שכאשר הבחין הנאשם בשוטרים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המשיך בריצה לכיוון השטח המיוער במטרה לברוח מהם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זאת כאשר הוא נושא ומוביל את האקדח הטעון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אותו אחז בידו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הנאשם המשיך בריצה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גם לאחר שהשוטרים צעקו לעברו מספר פעמים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עצור משטרה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וגם לאחר שביצעו ירי באוויר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לגרום לו לעצור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במהלך בריחתו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בשטח המיוער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השליך הנאשם את האקדח והמחסנית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והמשיך בבריחה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עד אשר נלכד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שוטרים נוספים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לאחר מרדף של כ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-</w:t>
      </w:r>
      <w:r>
        <w:rPr>
          <w:rFonts w:cs="David;Times New Roman" w:ascii="David;Times New Roman" w:hAnsi="David;Times New Roman"/>
          <w:b/>
          <w:bCs/>
          <w:u w:val="single"/>
        </w:rPr>
        <w:t>350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מטרים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עולה בבירור מן האמור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לנאשם היו הזדמנויות למכביר לעצור את מעשיו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דא עקא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לא עשה כן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נהפוך הוא – הנאשם עשה כל שלאל ידו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 xml:space="preserve">מנת לוודא שלא הוא ולא האקדח והמחסנית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ייפלו</w:t>
      </w:r>
      <w:r>
        <w:rPr>
          <w:rFonts w:cs="David;Times New Roman" w:ascii="David;Times New Roman" w:hAnsi="David;Times New Roman"/>
          <w:rtl w:val="true"/>
        </w:rPr>
        <w:t xml:space="preserve">" </w:t>
      </w:r>
      <w:r>
        <w:rPr>
          <w:rFonts w:ascii="David;Times New Roman" w:hAnsi="David;Times New Roman"/>
          <w:rtl w:val="true"/>
        </w:rPr>
        <w:t>לידי רשויות אכיפת החוק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Ruller41"/>
        <w:ind w:hanging="720" w:start="720"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</w:rPr>
        <w:t>11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  <w:tab/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באשר למדיניות הענישה הנוהגת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הפנו באי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-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כוח הצדדים לפסיקה רלוונטית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ואף הגישו לעיוני פסיקה הן של בית המשפט העליון והן של בתי המשפט המחוזיים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מן החומר האמור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עולה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קיים מנעד רחב ביותר של פסיקה באשר לענישה בעבירות האמורות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מחד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גיסא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קיימת פסיקה שבה הסתפקו בתי המשפט בהטלת עונש מאסר לריצוי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בעבודות שירות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ומאידך גיסא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קיימת פסיקה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שבה עמדו בתי המשפט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כך שלא ניתן להימנע בעבירה מסוג זה מלהטיל על הנאשם עונש של מאסר בפועל לריצוי מאחורי סורג ובריח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קראתי את הפסיקה אליה הפנו הצדדים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עת מן הפסיקה אליה הפנתה המאשימה עולות נסיבות חמורות מן הנסיבות אשר מתוארות בכתב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לרבות ריבוי עבירות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נאשמים בעלי עבר פלילי מכביד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ועוד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מנגד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מן  הפסיקה אליה הפנה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 עולה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גם בהן הנסיבות שונות בתכלית מאלו שבעניינו של הנאשם שבפניי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לרבות נאשם בעל מצב בריאותי קשה ביותר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וכן העובדה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חלקן נדונו בערכאות הערעור השונות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ערכאת הערעור אינה נוטה למצות את חומרת הדין עם הנאשמים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מקריאה מעמיקה של פסיקת בית המשפט העליון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עולה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שופטיו התוו בפסיקה ארוכת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שנים את מדיניות הענישה הראויה בעבירות נשק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אפנה לדבריה של כב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הנשיאה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השופטת א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חיות ב עניין ג</w:t>
      </w:r>
      <w:r>
        <w:rPr>
          <w:rFonts w:cs="David;Times New Roman" w:ascii="David;Times New Roman" w:hAnsi="David;Times New Roman"/>
          <w:rtl w:val="true"/>
        </w:rPr>
        <w:t>'</w:t>
      </w:r>
      <w:r>
        <w:rPr>
          <w:rFonts w:ascii="David;Times New Roman" w:hAnsi="David;Times New Roman"/>
          <w:rtl w:val="true"/>
        </w:rPr>
        <w:t>באלי</w:t>
      </w:r>
      <w:r>
        <w:rPr>
          <w:rFonts w:cs="David;Times New Roman" w:ascii="David;Times New Roman" w:hAnsi="David;Times New Roman"/>
          <w:rtl w:val="true"/>
        </w:rPr>
        <w:t>:</w:t>
      </w:r>
    </w:p>
    <w:p>
      <w:pPr>
        <w:pStyle w:val="Ruller42"/>
        <w:ind w:start="1440" w:end="0"/>
        <w:jc w:val="both"/>
        <w:rPr>
          <w:rFonts w:ascii="David;Times New Roman" w:hAnsi="David;Times New Roman" w:cs="David;Times New Roman"/>
          <w:b/>
          <w:bCs/>
          <w:spacing w:val="0"/>
        </w:rPr>
      </w:pPr>
      <w:r>
        <w:rPr>
          <w:rFonts w:cs="David;Times New Roman" w:ascii="David;Times New Roman" w:hAnsi="David;Times New Roman"/>
          <w:b/>
          <w:bCs/>
          <w:spacing w:val="0"/>
          <w:rtl w:val="true"/>
        </w:rPr>
      </w:r>
    </w:p>
    <w:p>
      <w:pPr>
        <w:pStyle w:val="Ruller42"/>
        <w:ind w:start="1440" w:end="0"/>
        <w:jc w:val="both"/>
        <w:rPr/>
      </w:pPr>
      <w:r>
        <w:rPr>
          <w:rFonts w:cs="David;Times New Roman" w:ascii="David;Times New Roman" w:hAnsi="David;Times New Roman"/>
          <w:b/>
          <w:bCs/>
          <w:spacing w:val="0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 xml:space="preserve">בית משפט זה עמד פעמים רבות על </w:t>
      </w:r>
      <w:r>
        <w:rPr>
          <w:rFonts w:ascii="David;Times New Roman" w:hAnsi="David;Times New Roman" w:cs="David;Times New Roman"/>
          <w:b/>
          <w:b/>
          <w:bCs/>
          <w:rtl w:val="true"/>
        </w:rPr>
        <w:t>החומרה היתרה הגלומה בביצוע עבירות בנשק ובכללן העבירה של החזקת נשק או נשיאתו שלא כדין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 w:cs="David;Times New Roman"/>
          <w:b/>
          <w:b/>
          <w:bCs/>
          <w:u w:val="single"/>
          <w:rtl w:val="true"/>
        </w:rPr>
        <w:t xml:space="preserve">עבירות אלה מקימות סיכון חמור לשלום הציבור וביטחונו ומחייבות 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"</w:t>
      </w:r>
      <w:r>
        <w:rPr>
          <w:rFonts w:ascii="David;Times New Roman" w:hAnsi="David;Times New Roman" w:cs="David;Times New Roman"/>
          <w:b/>
          <w:b/>
          <w:bCs/>
          <w:u w:val="single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David;Times New Roman" w:ascii="David;Times New Roman" w:hAnsi="David;Times New Roman"/>
          <w:b/>
          <w:bCs/>
          <w:rtl w:val="true"/>
        </w:rPr>
        <w:t>" (</w:t>
      </w:r>
      <w:hyperlink r:id="rId21">
        <w:r>
          <w:rPr>
            <w:rStyle w:val="Hyperlink"/>
            <w:rFonts w:ascii="David;Times New Roman" w:hAnsi="David;Times New Roman" w:cs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5120/11</w:t>
        </w:r>
      </w:hyperlink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שתיווי נ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מדינת ישראל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>, [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פורסם בנבו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]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 xml:space="preserve">בפסקה </w:t>
      </w:r>
      <w:r>
        <w:rPr>
          <w:rFonts w:cs="David;Times New Roman" w:ascii="David;Times New Roman" w:hAnsi="David;Times New Roman"/>
          <w:b/>
          <w:bCs/>
          <w:spacing w:val="0"/>
        </w:rPr>
        <w:t>5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cs="David;Times New Roman" w:ascii="David;Times New Roman" w:hAnsi="David;Times New Roman"/>
          <w:b/>
          <w:bCs/>
        </w:rPr>
        <w:t>18.12.2011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); </w:t>
      </w:r>
      <w:hyperlink r:id="rId22">
        <w:r>
          <w:rPr>
            <w:rStyle w:val="Hyperlink"/>
            <w:rFonts w:ascii="David;Times New Roman" w:hAnsi="David;Times New Roman" w:cs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4329/10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פלוני נ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מדינת ישראל</w:t>
      </w:r>
      <w:r>
        <w:rPr>
          <w:rFonts w:ascii="David;Times New Roman" w:hAnsi="David;Times New Roman" w:cs="David;Times New Roman"/>
          <w:b/>
          <w:b/>
          <w:bCs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>[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פורסם בנבו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]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cs="David;Times New Roman" w:ascii="David;Times New Roman" w:hAnsi="David;Times New Roman"/>
          <w:b/>
          <w:bCs/>
        </w:rPr>
        <w:t>25.10.2010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)). </w:t>
      </w:r>
      <w:r>
        <w:rPr>
          <w:rFonts w:ascii="David;Times New Roman" w:hAnsi="David;Times New Roman" w:cs="David;Times New Roman"/>
          <w:b/>
          <w:b/>
          <w:bCs/>
          <w:rtl w:val="true"/>
        </w:rPr>
        <w:t>עוד נפסק כי חומרתן של העבירות בנשק אינה מסתכמת רק בנזק שאירע בפועל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 w:cs="David;Times New Roman"/>
          <w:b/>
          <w:b/>
          <w:bCs/>
          <w:rtl w:val="true"/>
        </w:rPr>
        <w:t>כי אם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 xml:space="preserve"> בפוטנציאל </w:t>
      </w:r>
      <w:r>
        <w:rPr>
          <w:rFonts w:ascii="David;Times New Roman" w:hAnsi="David;Times New Roman" w:cs="David;Times New Roman"/>
          <w:b/>
          <w:b/>
          <w:bCs/>
          <w:rtl w:val="true"/>
        </w:rPr>
        <w:t xml:space="preserve">הנזק הנובע מאותן עבירות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hyperlink r:id="rId23">
        <w:r>
          <w:rPr>
            <w:rStyle w:val="Hyperlink"/>
            <w:rFonts w:ascii="David;Times New Roman" w:hAnsi="David;Times New Roman" w:cs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116/13</w:t>
        </w:r>
      </w:hyperlink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וקנין נ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מדינת ישראל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>[</w:t>
      </w:r>
      <w:r>
        <w:rPr>
          <w:rFonts w:ascii="David;Times New Roman" w:hAnsi="David;Times New Roman" w:cs="David;Times New Roman"/>
          <w:b/>
          <w:b/>
          <w:bCs/>
          <w:spacing w:val="0"/>
          <w:rtl w:val="true"/>
        </w:rPr>
        <w:t>פורסם בנבו</w:t>
      </w:r>
      <w:r>
        <w:rPr>
          <w:rFonts w:cs="David;Times New Roman" w:ascii="David;Times New Roman" w:hAnsi="David;Times New Roman"/>
          <w:b/>
          <w:bCs/>
          <w:spacing w:val="0"/>
          <w:rtl w:val="true"/>
        </w:rPr>
        <w:t xml:space="preserve">] </w:t>
      </w:r>
      <w:r>
        <w:rPr>
          <w:rFonts w:ascii="David;Times New Roman" w:hAnsi="David;Times New Roman" w:cs="David;Times New Roman"/>
          <w:b/>
          <w:b/>
          <w:bCs/>
          <w:rtl w:val="true"/>
        </w:rPr>
        <w:t xml:space="preserve">בפסקה </w:t>
      </w:r>
      <w:r>
        <w:rPr>
          <w:rFonts w:cs="David;Times New Roman" w:ascii="David;Times New Roman" w:hAnsi="David;Times New Roman"/>
          <w:b/>
          <w:bCs/>
        </w:rPr>
        <w:t>7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(</w:t>
      </w:r>
      <w:r>
        <w:rPr>
          <w:rFonts w:cs="David;Times New Roman" w:ascii="David;Times New Roman" w:hAnsi="David;Times New Roman"/>
          <w:b/>
          <w:bCs/>
        </w:rPr>
        <w:t>31.7.2013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))"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 w:cs="David;Times New Roman"/>
          <w:rtl w:val="true"/>
        </w:rPr>
        <w:t>ההדגשה אינה במקור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Ruller41"/>
        <w:ind w:start="720"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עוד ובנוסף אפנה לפסק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-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דינו של כב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השופט ע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.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פוגלמן מן העת האחרונה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ממנו אף עולה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כי קיימת מגמה של החמרה בענישה בעבירות הנשק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:</w:t>
      </w:r>
    </w:p>
    <w:p>
      <w:pPr>
        <w:pStyle w:val="Ruller41"/>
        <w:ind w:start="720"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ר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' </w:t>
      </w:r>
      <w:hyperlink r:id="rId24"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 w:cs="David;Times New Roman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' </w:t>
      </w:r>
      <w:r>
        <w:rPr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פאדי גריפאת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(</w:t>
      </w:r>
      <w:r>
        <w:rPr>
          <w:rFonts w:cs="David;Times New Roman" w:ascii="David;Times New Roman" w:hAnsi="David;Times New Roman"/>
          <w:sz w:val="24"/>
          <w:szCs w:val="24"/>
        </w:rPr>
        <w:t>22.12.2020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):</w:t>
      </w:r>
    </w:p>
    <w:p>
      <w:pPr>
        <w:pStyle w:val="Ruller41"/>
        <w:ind w:end="0"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eastAsia="David;Times New Roman"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 xml:space="preserve">בית משפט זה עמד בשורה ארוכה של פסקי דין על החומרה היתרה של עבירות הנשק ועל הסכנה הגבוהה שנשקפת מהן לשלום הציבור ולביטחונו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/>
          <w:b/>
          <w:b/>
          <w:bCs/>
          <w:rtl w:val="true"/>
        </w:rPr>
        <w:t>ראו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מיני רבים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hyperlink r:id="rId25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1944/20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אמארה</w:t>
      </w:r>
      <w:r>
        <w:rPr>
          <w:rFonts w:cs="David;Times New Roman" w:ascii="David;Times New Roman" w:hAnsi="David;Times New Roman"/>
          <w:b/>
          <w:bCs/>
          <w:rtl w:val="true"/>
        </w:rPr>
        <w:t>, [</w:t>
      </w:r>
      <w:r>
        <w:rPr>
          <w:rFonts w:ascii="David;Times New Roman" w:hAnsi="David;Times New Roman"/>
          <w:b/>
          <w:b/>
          <w:bCs/>
          <w:rtl w:val="true"/>
        </w:rPr>
        <w:t>פורסם בנבו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] </w:t>
      </w:r>
      <w:r>
        <w:rPr>
          <w:rFonts w:ascii="David;Times New Roman" w:hAnsi="David;Times New Roman"/>
          <w:b/>
          <w:b/>
          <w:bCs/>
          <w:rtl w:val="true"/>
        </w:rPr>
        <w:t xml:space="preserve">פסקה </w:t>
      </w:r>
      <w:r>
        <w:rPr>
          <w:rFonts w:cs="David;Times New Roman" w:ascii="David;Times New Roman" w:hAnsi="David;Times New Roman"/>
          <w:b/>
          <w:bCs/>
        </w:rPr>
        <w:t>10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(</w:t>
      </w:r>
      <w:r>
        <w:rPr>
          <w:rFonts w:cs="David;Times New Roman" w:ascii="David;Times New Roman" w:hAnsi="David;Times New Roman"/>
          <w:b/>
          <w:bCs/>
        </w:rPr>
        <w:t>2.9.2020</w:t>
      </w:r>
      <w:r>
        <w:rPr>
          <w:rFonts w:cs="David;Times New Roman" w:ascii="David;Times New Roman" w:hAnsi="David;Times New Roman"/>
          <w:b/>
          <w:bCs/>
          <w:rtl w:val="true"/>
        </w:rPr>
        <w:t>) (</w:t>
      </w:r>
      <w:r>
        <w:rPr>
          <w:rFonts w:ascii="David;Times New Roman" w:hAnsi="David;Times New Roman"/>
          <w:b/>
          <w:b/>
          <w:bCs/>
          <w:rtl w:val="true"/>
        </w:rPr>
        <w:t>להלן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: </w:t>
      </w:r>
      <w:r>
        <w:rPr>
          <w:rFonts w:ascii="David;Times New Roman" w:hAnsi="David;Times New Roman"/>
          <w:b/>
          <w:b/>
          <w:bCs/>
          <w:rtl w:val="true"/>
        </w:rPr>
        <w:t>עניין אמארה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); </w:t>
      </w:r>
      <w:r>
        <w:rPr>
          <w:rFonts w:ascii="David;Times New Roman" w:hAnsi="David;Times New Roman"/>
          <w:b/>
          <w:b/>
          <w:bCs/>
          <w:rtl w:val="true"/>
        </w:rPr>
        <w:t>עניין געביס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פסקה </w:t>
      </w:r>
      <w:r>
        <w:rPr>
          <w:rFonts w:cs="David;Times New Roman" w:ascii="David;Times New Roman" w:hAnsi="David;Times New Roman"/>
          <w:b/>
          <w:bCs/>
        </w:rPr>
        <w:t>8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). </w:t>
      </w:r>
      <w:r>
        <w:rPr>
          <w:rFonts w:ascii="David;Times New Roman" w:hAnsi="David;Times New Roman"/>
          <w:b/>
          <w:b/>
          <w:bCs/>
          <w:rtl w:val="true"/>
        </w:rPr>
        <w:t>חומרתן של עבירות אלו נובעת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בין היתר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גם מהחשש כי הנשק יועבר למי שמתכוון לעשות בו שימוש לפעילות עבריינית או לפעילות טרור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hyperlink r:id="rId26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4945/13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מדינת ישראל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 xml:space="preserve">סלימאן </w:t>
      </w:r>
      <w:r>
        <w:rPr>
          <w:rFonts w:cs="David;Times New Roman" w:ascii="David;Times New Roman" w:hAnsi="David;Times New Roman"/>
          <w:b/>
          <w:bCs/>
          <w:rtl w:val="true"/>
        </w:rPr>
        <w:t>[</w:t>
      </w:r>
      <w:r>
        <w:rPr>
          <w:rFonts w:ascii="David;Times New Roman" w:hAnsi="David;Times New Roman"/>
          <w:b/>
          <w:b/>
          <w:bCs/>
          <w:rtl w:val="true"/>
        </w:rPr>
        <w:t>פורסם בנבו</w:t>
      </w:r>
      <w:r>
        <w:rPr>
          <w:rFonts w:cs="David;Times New Roman" w:ascii="David;Times New Roman" w:hAnsi="David;Times New Roman"/>
          <w:b/>
          <w:bCs/>
          <w:rtl w:val="true"/>
        </w:rPr>
        <w:t>] (</w:t>
      </w:r>
      <w:r>
        <w:rPr>
          <w:rFonts w:cs="David;Times New Roman" w:ascii="David;Times New Roman" w:hAnsi="David;Times New Roman"/>
          <w:b/>
          <w:bCs/>
        </w:rPr>
        <w:t>19.1.2014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); </w:t>
      </w:r>
      <w:hyperlink r:id="rId27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2251/11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נפאע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cs="David;Times New Roman" w:ascii="David;Times New Roman" w:hAnsi="David;Times New Roman"/>
          <w:b/>
          <w:bCs/>
          <w:rtl w:val="true"/>
        </w:rPr>
        <w:t>, [</w:t>
      </w:r>
      <w:r>
        <w:rPr>
          <w:rFonts w:ascii="David;Times New Roman" w:hAnsi="David;Times New Roman"/>
          <w:b/>
          <w:b/>
          <w:bCs/>
          <w:rtl w:val="true"/>
        </w:rPr>
        <w:t>פורסם בנבו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] </w:t>
      </w:r>
      <w:r>
        <w:rPr>
          <w:rFonts w:ascii="David;Times New Roman" w:hAnsi="David;Times New Roman"/>
          <w:b/>
          <w:b/>
          <w:bCs/>
          <w:rtl w:val="true"/>
        </w:rPr>
        <w:t xml:space="preserve">פסקה </w:t>
      </w:r>
      <w:r>
        <w:rPr>
          <w:rFonts w:cs="David;Times New Roman" w:ascii="David;Times New Roman" w:hAnsi="David;Times New Roman"/>
          <w:b/>
          <w:bCs/>
        </w:rPr>
        <w:t>5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(</w:t>
      </w:r>
      <w:r>
        <w:rPr>
          <w:rFonts w:cs="David;Times New Roman" w:ascii="David;Times New Roman" w:hAnsi="David;Times New Roman"/>
          <w:b/>
          <w:bCs/>
        </w:rPr>
        <w:t>4.12.2011</w:t>
      </w:r>
      <w:r>
        <w:rPr>
          <w:rFonts w:cs="David;Times New Roman" w:ascii="David;Times New Roman" w:hAnsi="David;Times New Roman"/>
          <w:b/>
          <w:bCs/>
          <w:rtl w:val="true"/>
        </w:rPr>
        <w:t>) (</w:t>
      </w:r>
      <w:r>
        <w:rPr>
          <w:rFonts w:ascii="David;Times New Roman" w:hAnsi="David;Times New Roman"/>
          <w:b/>
          <w:b/>
          <w:bCs/>
          <w:rtl w:val="true"/>
        </w:rPr>
        <w:t>להלן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: </w:t>
      </w:r>
      <w:r>
        <w:rPr>
          <w:rFonts w:ascii="David;Times New Roman" w:hAnsi="David;Times New Roman"/>
          <w:b/>
          <w:b/>
          <w:bCs/>
          <w:rtl w:val="true"/>
        </w:rPr>
        <w:t>עניין נפאע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)).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נוכח האמור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חזר וציין בית משפט זה כי קיימת מגמה של החמרה בענישה בעבירות אלו וזאת על מנת להרתיע מפני ביצוען</w:t>
      </w:r>
      <w:r>
        <w:rPr>
          <w:rFonts w:ascii="David;Times New Roman" w:hAnsi="David;Times New Roman"/>
          <w:b/>
          <w:b/>
          <w:bCs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rtl w:val="true"/>
        </w:rPr>
        <w:t>(</w:t>
      </w:r>
      <w:r>
        <w:rPr>
          <w:rFonts w:ascii="David;Times New Roman" w:hAnsi="David;Times New Roman"/>
          <w:b/>
          <w:b/>
          <w:bCs/>
          <w:rtl w:val="true"/>
        </w:rPr>
        <w:t>ע</w:t>
      </w: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פ עניין אמארה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פסקה </w:t>
      </w:r>
      <w:r>
        <w:rPr>
          <w:rFonts w:cs="David;Times New Roman" w:ascii="David;Times New Roman" w:hAnsi="David;Times New Roman"/>
          <w:b/>
          <w:bCs/>
        </w:rPr>
        <w:t>10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; </w:t>
      </w:r>
      <w:hyperlink r:id="rId28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8045/17</w:t>
        </w:r>
      </w:hyperlink>
      <w:r>
        <w:rPr>
          <w:rFonts w:cs="David;Times New Roman" w:ascii="David;Times New Roman" w:hAnsi="David;Times New Roman"/>
          <w:b/>
          <w:bCs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בראנסי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>מדינת ישראל</w:t>
      </w:r>
      <w:r>
        <w:rPr>
          <w:rFonts w:cs="David;Times New Roman" w:ascii="David;Times New Roman" w:hAnsi="David;Times New Roman"/>
          <w:b/>
          <w:bCs/>
          <w:rtl w:val="true"/>
        </w:rPr>
        <w:t>, [</w:t>
      </w:r>
      <w:r>
        <w:rPr>
          <w:rFonts w:ascii="David;Times New Roman" w:hAnsi="David;Times New Roman"/>
          <w:b/>
          <w:b/>
          <w:bCs/>
          <w:rtl w:val="true"/>
        </w:rPr>
        <w:t>פורסם בנבו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] </w:t>
      </w:r>
      <w:r>
        <w:rPr>
          <w:rFonts w:ascii="David;Times New Roman" w:hAnsi="David;Times New Roman"/>
          <w:b/>
          <w:b/>
          <w:bCs/>
          <w:rtl w:val="true"/>
        </w:rPr>
        <w:t xml:space="preserve">פסקאות </w:t>
      </w:r>
      <w:r>
        <w:rPr>
          <w:rFonts w:cs="David;Times New Roman" w:ascii="David;Times New Roman" w:hAnsi="David;Times New Roman"/>
          <w:b/>
          <w:bCs/>
        </w:rPr>
        <w:t>11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cs="David;Times New Roman" w:ascii="David;Times New Roman" w:hAnsi="David;Times New Roman"/>
          <w:b/>
          <w:bCs/>
        </w:rPr>
        <w:t>100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 (</w:t>
      </w:r>
      <w:r>
        <w:rPr>
          <w:rFonts w:cs="David;Times New Roman" w:ascii="David;Times New Roman" w:hAnsi="David;Times New Roman"/>
          <w:b/>
          <w:bCs/>
        </w:rPr>
        <w:t>16.8.2018</w:t>
      </w:r>
      <w:r>
        <w:rPr>
          <w:rFonts w:cs="David;Times New Roman" w:ascii="David;Times New Roman" w:hAnsi="David;Times New Roman"/>
          <w:b/>
          <w:bCs/>
          <w:rtl w:val="true"/>
        </w:rPr>
        <w:t>) (</w:t>
      </w:r>
      <w:r>
        <w:rPr>
          <w:rFonts w:ascii="David;Times New Roman" w:hAnsi="David;Times New Roman"/>
          <w:b/>
          <w:b/>
          <w:bCs/>
          <w:rtl w:val="true"/>
        </w:rPr>
        <w:t>להלן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: </w:t>
      </w:r>
      <w:r>
        <w:rPr>
          <w:rFonts w:ascii="David;Times New Roman" w:hAnsi="David;Times New Roman"/>
          <w:b/>
          <w:b/>
          <w:bCs/>
          <w:rtl w:val="true"/>
        </w:rPr>
        <w:t>עניין בראנסי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); </w:t>
      </w:r>
      <w:r>
        <w:rPr>
          <w:rFonts w:ascii="David;Times New Roman" w:hAnsi="David;Times New Roman"/>
          <w:b/>
          <w:b/>
          <w:bCs/>
          <w:rtl w:val="true"/>
        </w:rPr>
        <w:t>עניין נפאע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פסקה </w:t>
      </w:r>
      <w:r>
        <w:rPr>
          <w:rFonts w:cs="David;Times New Roman" w:ascii="David;Times New Roman" w:hAnsi="David;Times New Roman"/>
          <w:b/>
          <w:bCs/>
        </w:rPr>
        <w:t>5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)".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ההדגשה אינה במקור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12</w:t>
      </w:r>
      <w:r>
        <w:rPr>
          <w:rFonts w:cs="David;Times New Roman" w:ascii="David;Times New Roman" w:hAnsi="David;Times New Roman"/>
          <w:rtl w:val="true"/>
        </w:rPr>
        <w:t xml:space="preserve">. </w:t>
        <w:tab/>
      </w:r>
      <w:r>
        <w:rPr>
          <w:rFonts w:ascii="David;Times New Roman" w:hAnsi="David;Times New Roman"/>
          <w:rtl w:val="true"/>
        </w:rPr>
        <w:t>בד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בבד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אזכיר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העיקרון הנוהג בפסיקה קובע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שהענישה היא אינדיבידואלית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הכול לפי נסיבות ביצוע העבירה ונסיבותיו של מבצע העבירה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יפים לענייננו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דבריו של המשנה לנשיאה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כב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השופט מ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>אלון ז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ל ב</w:t>
      </w:r>
      <w:r>
        <w:rPr>
          <w:rFonts w:cs="David;Times New Roman" w:ascii="David;Times New Roman" w:hAnsi="David;Times New Roman"/>
          <w:rtl w:val="true"/>
        </w:rPr>
        <w:t xml:space="preserve">- </w:t>
      </w:r>
      <w:hyperlink r:id="rId29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433/89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אטיאס נ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מדינת ישראל פ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ד מג</w:t>
        </w:r>
      </w:hyperlink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4</w:t>
      </w:r>
      <w:r>
        <w:rPr>
          <w:rFonts w:cs="David;Times New Roman" w:ascii="David;Times New Roman" w:hAnsi="David;Times New Roman"/>
          <w:rtl w:val="true"/>
        </w:rPr>
        <w:t xml:space="preserve">) </w:t>
      </w:r>
      <w:r>
        <w:rPr>
          <w:rFonts w:cs="David;Times New Roman" w:ascii="David;Times New Roman" w:hAnsi="David;Times New Roman"/>
        </w:rPr>
        <w:t>170</w:t>
      </w:r>
      <w:r>
        <w:rPr>
          <w:rFonts w:cs="David;Times New Roman" w:ascii="David;Times New Roman" w:hAnsi="David;Times New Roman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1296" w:end="0"/>
        <w:jc w:val="both"/>
        <w:rPr>
          <w:rFonts w:ascii="David;Times New Roman" w:hAnsi="David;Times New Roman" w:cs="Arial;Arial"/>
          <w:sz w:val="22"/>
          <w:szCs w:val="22"/>
        </w:rPr>
      </w:pP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כידוע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אחד השיקולים החשובים בשיקולי הענישה הוא מהותה של העבירה וחומרתה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; </w:t>
      </w:r>
      <w:r>
        <w:rPr>
          <w:rFonts w:ascii="David;Times New Roman" w:hAnsi="David;Times New Roman"/>
          <w:b/>
          <w:b/>
          <w:bCs/>
          <w:rtl w:val="true"/>
        </w:rPr>
        <w:t>שיקול זה קשור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בדרך כלל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בקשר הדוק עם שיקול ההרתעה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למען ישמעו וייראו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לשני שיקולים אלה מיתוסף שיקול נוסף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 xml:space="preserve">והוא 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- </w:t>
      </w:r>
      <w:r>
        <w:rPr>
          <w:rFonts w:ascii="David;Times New Roman" w:hAnsi="David;Times New Roman"/>
          <w:b/>
          <w:b/>
          <w:bCs/>
          <w:rtl w:val="true"/>
        </w:rPr>
        <w:t>קיום מדיניות אחידה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ככל האפשר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שתשמש כקו מנחה וכמורה דרך בעולמה של ענישה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ושיקול אחרון זה יפה הוא במיוחד לפסיקתו של בית המשפט העליון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שהמחוקק הפקידו על קביעת מדיניות זו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בנוסף לכל השיקולים האמורים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קיים ועומד השיקול החשוב והמהותי של תיקונו של הנאשם ושיקומו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ובהתקיים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במקרה מסוים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נסיבות מיוחדות ונכונות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ייתכן ששיקול אחרון זה יגבר על השיקולים האמורים האחרים ויקבע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באותו מקרה מסוים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את מידת העונש וצורתו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"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ענישתנו היא ענישה אינדיווידואלית של כל עבריין 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'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באשר הוא שם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'" (</w:t>
      </w:r>
      <w:hyperlink r:id="rId30"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b/>
            <w:bCs/>
            <w:color w:val="0000FF"/>
            <w:u w:val="single"/>
          </w:rPr>
          <w:t>291/81</w:t>
        </w:r>
      </w:hyperlink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 [</w:t>
      </w:r>
      <w:r>
        <w:rPr>
          <w:rFonts w:cs="David;Times New Roman" w:ascii="David;Times New Roman" w:hAnsi="David;Times New Roman"/>
          <w:b/>
          <w:bCs/>
          <w:u w:val="single"/>
        </w:rPr>
        <w:t>1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],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בעמ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' </w:t>
      </w:r>
      <w:r>
        <w:rPr>
          <w:rFonts w:cs="David;Times New Roman" w:ascii="David;Times New Roman" w:hAnsi="David;Times New Roman"/>
          <w:b/>
          <w:bCs/>
          <w:u w:val="single"/>
        </w:rPr>
        <w:t>442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).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זאת תורת הגישה האינדיווידואלית בתורת הענישה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המקובלת עלינו כקו מנחה בסוגיה קשה וסבוכה זו של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הענישה ומטרותיה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ואין אנו רשאים ל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"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הקל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"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על עצמנו ולהחמיר עם הנאשם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מתוך הסתמכות על הנימוק והחשש שמא הקלה במקרה מסוים הראוי לכך תשמש תקדים למקרים אחרים שאינם ראויים לכך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חזקה על בית המשפט שיידע להבחין בין מקרה למקרה לגופן של נסיבות ולעיצומם של דברים</w:t>
      </w:r>
      <w:r>
        <w:rPr>
          <w:rFonts w:cs="David;Times New Roman" w:ascii="David;Times New Roman" w:hAnsi="David;Times New Roman"/>
          <w:b/>
          <w:bCs/>
          <w:rtl w:val="true"/>
        </w:rPr>
        <w:t>".</w:t>
      </w:r>
      <w:r>
        <w:rPr>
          <w:rFonts w:cs="David;Times New Roman" w:ascii="David;Times New Roman" w:hAnsi="David;Times New Roman"/>
          <w:rtl w:val="true"/>
        </w:rPr>
        <w:t xml:space="preserve"> (</w:t>
      </w:r>
      <w:r>
        <w:rPr>
          <w:rFonts w:ascii="David;Times New Roman" w:hAnsi="David;Times New Roman"/>
          <w:rtl w:val="true"/>
        </w:rPr>
        <w:t>ההדגשה אינה במקור</w:t>
      </w:r>
      <w:r>
        <w:rPr>
          <w:rFonts w:cs="David;Times New Roman" w:ascii="David;Times New Roman" w:hAnsi="David;Times New Roman"/>
          <w:rtl w:val="true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end="0"/>
        <w:jc w:val="both"/>
        <w:rPr>
          <w:rFonts w:ascii="David;Times New Roman" w:hAnsi="David;Times New Roman" w:cs="David;Times New Roman"/>
          <w:b/>
          <w:bCs/>
          <w:sz w:val="22"/>
          <w:szCs w:val="22"/>
        </w:rPr>
      </w:pPr>
      <w:r>
        <w:rPr>
          <w:rFonts w:cs="David;Times New Roman" w:ascii="David;Times New Roman" w:hAnsi="David;Times New Roman"/>
          <w:b/>
          <w:bCs/>
          <w:sz w:val="22"/>
          <w:szCs w:val="22"/>
          <w:rtl w:val="true"/>
        </w:rPr>
      </w:r>
    </w:p>
    <w:p>
      <w:pPr>
        <w:pStyle w:val="David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מחד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גיסא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העבירות בהן הורשע הנאשם אינן נמנות עם המקרים החמורים ביותר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הואיל  ועבירת נשיאת הנשק המיוחסת לנאשם בכתב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 היא לאותו פרק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זמן קצר המתואר בעובדות 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ואין טענה לפיה החזיק הנאשם בנשק במועד שונה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David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בנוסף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אדגיש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הגם שאליבא דב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המאשימה טען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מותר להניח לחובתו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הוא נשא והוביל נשק למטרות לא כשרות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אינו מייחס זאת לנאשם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;Times New Roman" w:hAnsi="David;Times New Roman" w:eastAsia="David;Times New Roman" w:cs="David;Times New Roman"/>
        </w:rPr>
      </w:pPr>
      <w:r>
        <w:rPr>
          <w:rFonts w:eastAsia="David;Times New Roman" w:cs="David;Times New Roman" w:ascii="David;Times New Roman" w:hAnsi="David;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מאידך גיסא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ליתן משקל לכך שהנאשם נשא והוביל את הנשק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כשהוא בידו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טעון ומוכן לירי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לכך שביצוע העבירה היה באזור מגורים בשעות הצהריים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וכן לעובדה שקדם לאירוע סכסוך בין משפחת ארפאעיה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אליה משתייך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לבין משפחת סביחאת מכפר סאלם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במסגרתו היו מספר אירועי אלימות וירי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בימים שקדמו למתואר בכתב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ובנוסף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בל נשכח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לצד עבירת הנשק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הורשע הנאשם גם בעבירה של הפרעה לשוטר במילוי תפקידו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הואיל וכאמור כבר לעיל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עשה כל שלאל ידו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להימלט בעצמו מן השוטרים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והן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למלט את האקדח ואת המחסנית מרשויות אכיפת החוק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אזכיר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על אף שהנאשם הבחין בשוטרים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הוא המשיך בריצה לכיוון השטח המיוער במטרה לברוח מהם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זאת כאשר הוא נושא ומוביל את האקדח הטעון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אותו אחז בידו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הנאשם המשיך בריצה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גם לאחר שהשוטרים צעקו לעברו מספר פעמים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עצור משטרה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וגם לאחר שביצעו ירי באוויר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מנת לגרום לו לעצור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כמו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כן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במהלך בריחתו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בשטח המיוער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השליך הנאשם את האקדח והמחסנית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והמשיך בבריחה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עד אשר נלכד על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ידי שוטרים נוספים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לאחר מרדף של כ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cs="David;Times New Roman" w:ascii="David;Times New Roman" w:hAnsi="David;Times New Roman"/>
        </w:rPr>
        <w:t>350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מטרים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אין בידי לקבל את טענת ב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כ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לפיה הגם שהנאשם נשא אקדח טעון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אין מדובר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בנשק כהגדרתו או בתת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מקלע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ולפיכך יש לקבוע מתחם ענישה נמוך יותר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ברי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מן העולה מסעיף מס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cs="David;Times New Roman" w:ascii="David;Times New Roman" w:hAnsi="David;Times New Roman"/>
        </w:rPr>
        <w:t>3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לכתב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לזכור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הודה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b/>
          <w:b/>
          <w:bCs/>
          <w:rtl w:val="true"/>
        </w:rPr>
        <w:t>האקדח הוא כלי שסוגל לירות כדור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אשר בכוחו להמית אדם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rtl w:val="true"/>
        </w:rPr>
        <w:t>ולפיכך מהווה נשק כהגדרתו בחוק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rtl w:val="true"/>
        </w:rPr>
        <w:t>המחסנית והכדורים מהווים אביזר ותחמושת לנשק כאמור</w:t>
      </w:r>
      <w:r>
        <w:rPr>
          <w:rFonts w:cs="David;Times New Roman" w:ascii="David;Times New Roman" w:hAnsi="David;Times New Roman"/>
          <w:rtl w:val="true"/>
        </w:rPr>
        <w:t xml:space="preserve">", </w:t>
      </w:r>
      <w:r>
        <w:rPr>
          <w:rFonts w:ascii="David;Times New Roman" w:hAnsi="David;Times New Roman"/>
          <w:rtl w:val="true"/>
        </w:rPr>
        <w:t>ואידך זיל גמור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בהתחשב במכלול הנסיבות שמניתי לעיל הקשורות לביצוע העבירה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חומרת העבירה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והערכים החברתיים שנפגעו כתוצאה מביצועה ולאחר שעמדתי על מדיניות הענישה הנהוגה בנסיבות דומות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אני קובע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מתחם הענישה הראוי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בנסיבות המקרה דנן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הוא מאסר בפועל לתקופה שנעה בין </w:t>
      </w:r>
      <w:r>
        <w:rPr>
          <w:rFonts w:cs="David;Times New Roman" w:ascii="David;Times New Roman" w:hAnsi="David;Times New Roman"/>
        </w:rPr>
        <w:t>14-36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זאת לצד עונשים נלווים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13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בית המשפט רשאי לחרוג ממתחם העונש ההולם או לקולא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בשל שיקולי שיקום וטיפול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או לחומרא בשל הגנה על שלום הציבור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בענייננו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נכתב בתסקיר שירות המבחן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נוכח חומרת העבירות המיוחסות לנאשם ואופיין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לצד חוסר הבהירות לגבי מניעיו לביצוע העבירות האמורות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ובהיעדר ביטויי מצוקה רגשית חריגה או נזקקות להתערבות טיפולית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אין באפשרות שירות המבחן להמליץ על חלופות ענישה או שיקום במסגרת הקהילה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העשויות להפחית סיכון להישנות עבירות דומות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ולפיכך איני מוצא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יש מקום לסטייה לקולא ממתחם הענישה האמור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מנגד סבורני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בנסיבות העניין אף לא מתקיימים התנאים לסטייה לחומרא ממתחם העונש האמור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ולפיכך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קובע אני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עונשו של הנאשם יקבע במתחם האמור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14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בגזירת העונש המתאים לנאשם יש להתחשב בנסיבות שאינן קשורות לביצוע העבירה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ובענייננו יש להביא בחשבון כשיקול לקולא את הודאתו של הנאשם במיוחס לו בכתב</w:t>
      </w:r>
      <w:r>
        <w:rPr>
          <w:rFonts w:cs="David;Times New Roman" w:ascii="David;Times New Roman" w:hAnsi="David;Times New Roman"/>
          <w:rtl w:val="true"/>
        </w:rPr>
        <w:t xml:space="preserve">- </w:t>
      </w:r>
      <w:r>
        <w:rPr>
          <w:rFonts w:ascii="David;Times New Roman" w:hAnsi="David;Times New Roman"/>
          <w:rtl w:val="true"/>
        </w:rPr>
        <w:t>האישום המתוקן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אף שלא עשה כן בהזדמנות הראשונה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rtl w:val="true"/>
        </w:rPr>
        <w:t>בנוסף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ליתן את הדעת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לגילו הצעיר של הנאשם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שנקבע </w:t>
      </w:r>
      <w:hyperlink r:id="rId31">
        <w:r>
          <w:rPr>
            <w:rStyle w:val="Hyperlink"/>
            <w:rFonts w:ascii="David;Times New Roman" w:hAnsi="David;Times New Roman"/>
            <w:rtl w:val="true"/>
          </w:rPr>
          <w:t xml:space="preserve">בסעיף  </w:t>
        </w:r>
        <w:r>
          <w:rPr>
            <w:rStyle w:val="Hyperlink"/>
            <w:rFonts w:cs="David;Times New Roman" w:ascii="David;Times New Roman" w:hAnsi="David;Times New Roman"/>
          </w:rPr>
          <w:t>40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 xml:space="preserve"> </w:t>
        </w:r>
        <w:r>
          <w:rPr>
            <w:rStyle w:val="Hyperlink"/>
            <w:rFonts w:ascii="David;Times New Roman" w:hAnsi="David;Times New Roman"/>
            <w:rtl w:val="true"/>
          </w:rPr>
          <w:t>יא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(</w:t>
        </w:r>
        <w:r>
          <w:rPr>
            <w:rStyle w:val="Hyperlink"/>
            <w:rFonts w:cs="David;Times New Roman" w:ascii="David;Times New Roman" w:hAnsi="David;Times New Roman"/>
          </w:rPr>
          <w:t>1</w:t>
        </w:r>
        <w:r>
          <w:rPr>
            <w:rStyle w:val="Hyperlink"/>
            <w:rFonts w:cs="David;Times New Roman" w:ascii="David;Times New Roman" w:hAnsi="David;Times New Roman"/>
            <w:rtl w:val="true"/>
          </w:rPr>
          <w:t>)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ל</w:t>
      </w:r>
      <w:hyperlink r:id="rId32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חוק העונשין</w:t>
        </w:r>
      </w:hyperlink>
      <w:r>
        <w:rPr>
          <w:rFonts w:cs="David;Times New Roman" w:ascii="David;Times New Roman" w:hAnsi="David;Times New Roman"/>
          <w:rtl w:val="true"/>
        </w:rPr>
        <w:t>,</w:t>
      </w:r>
    </w:p>
    <w:p>
      <w:pPr>
        <w:pStyle w:val="p00"/>
        <w:spacing w:lineRule="auto" w:line="360" w:before="72" w:after="0"/>
        <w:ind w:start="1440"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 xml:space="preserve">בגזירת העונש המתאים לנאשם כאמור בסעיף 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</w:rPr>
        <w:t>40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>(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), 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רשאי בית המשפט להתחשב בהתקיימות נסיבות שאינן קשורות בביצוע העבירה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המפורטות להלן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ובמידה שבה התקיימו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ככל שסבר כי ראוי לתת להן משקל בנסיבות המקרה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ובלבד שהעונש לא יחרוג ממתחם העונש ההולם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>:</w:t>
      </w:r>
    </w:p>
    <w:p>
      <w:pPr>
        <w:pStyle w:val="p00"/>
        <w:spacing w:lineRule="auto" w:line="360" w:before="72" w:after="0"/>
        <w:ind w:firstLine="96" w:start="1344" w:end="1134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</w:rPr>
        <w:t>1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)  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הפגיעה של העונש בנאשם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ascii="David;Times New Roman" w:hAnsi="David;Times New Roman" w:cs="David;Times New Roman"/>
          <w:b/>
          <w:b/>
          <w:bCs/>
          <w:sz w:val="24"/>
          <w:sz w:val="24"/>
          <w:szCs w:val="24"/>
          <w:rtl w:val="true"/>
        </w:rPr>
        <w:t>לרבות בשל גילו</w:t>
      </w:r>
      <w:r>
        <w:rPr>
          <w:rStyle w:val="default"/>
          <w:rFonts w:cs="David;Times New Roman" w:ascii="David;Times New Roman" w:hAnsi="David;Times New Roman"/>
          <w:b/>
          <w:bCs/>
          <w:sz w:val="24"/>
          <w:szCs w:val="24"/>
          <w:rtl w:val="true"/>
        </w:rPr>
        <w:t>"</w:t>
      </w: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  <w:b/>
          <w:bCs/>
          <w:sz w:val="24"/>
          <w:szCs w:val="24"/>
        </w:rPr>
      </w:pPr>
      <w:r>
        <w:rPr>
          <w:rFonts w:cs="David;Times New Roman" w:ascii="David;Times New Roman" w:hAnsi="David;Times New Roman"/>
          <w:b/>
          <w:bCs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1076" w:leader="none"/>
        </w:tabs>
        <w:spacing w:lineRule="auto" w:line="360"/>
        <w:ind w:start="720" w:end="0"/>
        <w:jc w:val="both"/>
        <w:rPr>
          <w:rFonts w:ascii="David;Times New Roman" w:hAnsi="David;Times New Roman" w:cs="David;Times New Roman"/>
          <w:b/>
          <w:bCs/>
        </w:rPr>
      </w:pPr>
      <w:r>
        <w:rPr>
          <w:rFonts w:ascii="David;Times New Roman" w:hAnsi="David;Times New Roman"/>
          <w:rtl w:val="true"/>
        </w:rPr>
        <w:t>וכן אפנה לדבריו של כב</w:t>
      </w:r>
      <w:r>
        <w:rPr>
          <w:rFonts w:cs="David;Times New Roman" w:ascii="David;Times New Roman" w:hAnsi="David;Times New Roman"/>
          <w:rtl w:val="true"/>
        </w:rPr>
        <w:t xml:space="preserve">' </w:t>
      </w:r>
      <w:r>
        <w:rPr>
          <w:rFonts w:ascii="David;Times New Roman" w:hAnsi="David;Times New Roman"/>
          <w:rtl w:val="true"/>
        </w:rPr>
        <w:t xml:space="preserve">המשנה לנשיאה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ascii="David;Times New Roman" w:hAnsi="David;Times New Roman"/>
          <w:rtl w:val="true"/>
        </w:rPr>
        <w:t>בדימוס</w:t>
      </w:r>
      <w:r>
        <w:rPr>
          <w:rFonts w:cs="David;Times New Roman" w:ascii="David;Times New Roman" w:hAnsi="David;Times New Roman"/>
          <w:rtl w:val="true"/>
        </w:rPr>
        <w:t xml:space="preserve">), </w:t>
      </w:r>
      <w:r>
        <w:rPr>
          <w:rFonts w:ascii="David;Times New Roman" w:hAnsi="David;Times New Roman"/>
          <w:rtl w:val="true"/>
        </w:rPr>
        <w:t>השופט ס</w:t>
      </w:r>
      <w:r>
        <w:rPr>
          <w:rFonts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/>
          <w:rtl w:val="true"/>
        </w:rPr>
        <w:t>ג</w:t>
      </w:r>
      <w:r>
        <w:rPr>
          <w:rFonts w:cs="David;Times New Roman" w:ascii="David;Times New Roman" w:hAnsi="David;Times New Roman"/>
          <w:rtl w:val="true"/>
        </w:rPr>
        <w:t>'</w:t>
      </w:r>
      <w:r>
        <w:rPr>
          <w:rFonts w:ascii="David;Times New Roman" w:hAnsi="David;Times New Roman"/>
          <w:rtl w:val="true"/>
        </w:rPr>
        <w:t>ובראן ב</w:t>
      </w:r>
      <w:r>
        <w:rPr>
          <w:rFonts w:cs="David;Times New Roman" w:ascii="David;Times New Roman" w:hAnsi="David;Times New Roman"/>
          <w:rtl w:val="true"/>
        </w:rPr>
        <w:t>-</w:t>
      </w:r>
      <w:hyperlink r:id="rId33"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David;Times New Roman" w:hAnsi="David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Times New Roman" w:ascii="David;Times New Roman" w:hAnsi="David;Times New Roman"/>
            <w:color w:val="0000FF"/>
            <w:u w:val="single"/>
          </w:rPr>
          <w:t>7781/12</w:t>
        </w:r>
      </w:hyperlink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</w:rPr>
        <w:t>פלוני נ</w:t>
      </w:r>
      <w:r>
        <w:rPr>
          <w:rFonts w:cs="David;Times New Roman" w:ascii="David;Times New Roman" w:hAnsi="David;Times New Roman"/>
          <w:b/>
          <w:bCs/>
          <w:rtl w:val="true"/>
        </w:rPr>
        <w:t xml:space="preserve">' </w:t>
      </w:r>
      <w:r>
        <w:rPr>
          <w:rFonts w:ascii="David;Times New Roman" w:hAnsi="David;Times New Roman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;Times New Roman" w:ascii="David;Times New Roman" w:hAnsi="David;Times New Roman"/>
          <w:rtl w:val="true"/>
        </w:rPr>
        <w:t>(</w:t>
      </w:r>
      <w:r>
        <w:rPr>
          <w:rFonts w:cs="David;Times New Roman" w:ascii="David;Times New Roman" w:hAnsi="David;Times New Roman"/>
        </w:rPr>
        <w:t>25.06.2013</w:t>
      </w:r>
      <w:r>
        <w:rPr>
          <w:rFonts w:cs="David;Times New Roman" w:ascii="David;Times New Roman" w:hAnsi="David;Times New Roman"/>
          <w:rtl w:val="true"/>
        </w:rPr>
        <w:t>)</w:t>
      </w:r>
    </w:p>
    <w:p>
      <w:pPr>
        <w:pStyle w:val="Normal"/>
        <w:tabs>
          <w:tab w:val="clear" w:pos="720"/>
          <w:tab w:val="left" w:pos="1076" w:leader="none"/>
        </w:tabs>
        <w:spacing w:lineRule="auto" w:line="360"/>
        <w:ind w:start="720" w:end="0"/>
        <w:jc w:val="both"/>
        <w:rPr>
          <w:rFonts w:ascii="David;Times New Roman" w:hAnsi="David;Times New Roman" w:cs="David;Times New Roman"/>
          <w:b/>
          <w:bCs/>
        </w:rPr>
      </w:pPr>
      <w:r>
        <w:rPr>
          <w:rFonts w:cs="David;Times New Roman" w:ascii="David;Times New Roman" w:hAnsi="David;Times New Roman"/>
          <w:b/>
          <w:bCs/>
          <w:rtl w:val="true"/>
        </w:rPr>
      </w:r>
    </w:p>
    <w:p>
      <w:pPr>
        <w:pStyle w:val="Normal"/>
        <w:tabs>
          <w:tab w:val="clear" w:pos="720"/>
          <w:tab w:val="left" w:pos="1076" w:leader="none"/>
        </w:tabs>
        <w:spacing w:lineRule="auto" w:line="360"/>
        <w:ind w:start="144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b/>
          <w:bCs/>
          <w:rtl w:val="true"/>
        </w:rPr>
        <w:t>"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לאור כל האמור לעיל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לגישתי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יש מקום להתחשב במסגרת שיקולי הענישה בייחודיותה של קבוצת ה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>"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בגירים צעירים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".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חשוב להבהיר כי אין בקביעתנו זו כדי לקבוע כי בגזירת עונשם של קבוצה זו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יש לשקול שיקולים זהים לאלו של קטינים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יחד עם זאת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 xml:space="preserve">על בית המשפט בקובעו את עונשו של 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>"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בגיר צעיר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"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לייחס לגילו משקל משמעותי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במסגרת זאת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 xml:space="preserve">עליו לשקול בין היתר את קרבתו לגיל </w:t>
      </w:r>
      <w:r>
        <w:rPr>
          <w:rFonts w:cs="David;Times New Roman" w:ascii="David;Times New Roman" w:hAnsi="David;Times New Roman"/>
          <w:b/>
          <w:bCs/>
          <w:spacing w:val="10"/>
        </w:rPr>
        <w:t>18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ההשפעה האפשרית של מאסר בפועל על שיקומו ומצבו הנפשי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ובגרותו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.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הכול כעולה מתסקיר המבחן שיוגש בפניו בטרם גזירת העונש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". </w:t>
      </w:r>
    </w:p>
    <w:p>
      <w:pPr>
        <w:pStyle w:val="Normal"/>
        <w:tabs>
          <w:tab w:val="clear" w:pos="720"/>
          <w:tab w:val="left" w:pos="1076" w:leader="none"/>
        </w:tabs>
        <w:spacing w:lineRule="auto" w:line="360"/>
        <w:ind w:start="144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עוד ובנוסף אציין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אין לנאשם עבר פלילי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ולפיכך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מדובר במאסרו הראשון מאחורי סורג ובריח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וברי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גם לכך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יש ליתן משקל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אפנה שוב לעניין פלוני</w:t>
      </w:r>
      <w:r>
        <w:rPr>
          <w:rFonts w:cs="David;Times New Roman" w:ascii="David;Times New Roman" w:hAnsi="David;Times New Roman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David;Times New Roman" w:hAnsi="David;Times New Roman" w:cs="David;Times New Roman"/>
          <w:b/>
          <w:bCs/>
          <w:i/>
          <w:i/>
          <w:iCs/>
          <w:spacing w:val="10"/>
        </w:rPr>
      </w:pPr>
      <w:r>
        <w:rPr>
          <w:rFonts w:cs="FrankRuehl;Times New Roman" w:ascii="Arial TUR;Arial" w:hAnsi="Arial TUR;Arial"/>
          <w:spacing w:val="10"/>
          <w:szCs w:val="28"/>
          <w:rtl w:val="true"/>
        </w:rPr>
        <w:t>"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יתר על כך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מחקרים רבים הראו כי קיים קשר סיבתי שלילי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על פיו מאסר ראשון לא רק שאינו מביא להתרעת היחיד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 xml:space="preserve">אלא מביא בסבירות גבוהה למאסרים נוספים ורצידיביזם 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>(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ראו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: 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 xml:space="preserve">חגית לרנאו וישי שרון 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>"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>שמונה הכרעות ערכיות בחקיקת חוק הבניית שיקול הדעת השיפוטי בענישה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" </w:t>
      </w:r>
      <w:r>
        <w:rPr>
          <w:rFonts w:ascii="David;Times New Roman" w:hAnsi="David;Times New Roman"/>
          <w:b/>
          <w:b/>
          <w:bCs/>
          <w:rtl w:val="true"/>
        </w:rPr>
        <w:t>הסניגור</w:t>
      </w:r>
      <w:r>
        <w:rPr>
          <w:rFonts w:ascii="David;Times New Roman" w:hAnsi="David;Times New Roman"/>
          <w:b/>
          <w:b/>
          <w:bCs/>
          <w:spacing w:val="10"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spacing w:val="10"/>
        </w:rPr>
        <w:t>183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 </w:t>
      </w:r>
      <w:r>
        <w:rPr>
          <w:rFonts w:cs="David;Times New Roman" w:ascii="David;Times New Roman" w:hAnsi="David;Times New Roman"/>
          <w:b/>
          <w:bCs/>
          <w:spacing w:val="10"/>
        </w:rPr>
        <w:t>14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, </w:t>
      </w:r>
      <w:r>
        <w:rPr>
          <w:rFonts w:cs="David;Times New Roman" w:ascii="David;Times New Roman" w:hAnsi="David;Times New Roman"/>
          <w:b/>
          <w:bCs/>
          <w:spacing w:val="10"/>
        </w:rPr>
        <w:t>19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; </w:t>
      </w:r>
      <w:r>
        <w:rPr>
          <w:rFonts w:cs="David;Times New Roman" w:ascii="David;Times New Roman" w:hAnsi="David;Times New Roman"/>
          <w:b/>
          <w:bCs/>
          <w:spacing w:val="10"/>
        </w:rPr>
        <w:t xml:space="preserve">Francis T. Cullen at el, </w:t>
      </w:r>
      <w:r>
        <w:rPr>
          <w:rFonts w:cs="David;Times New Roman" w:ascii="David;Times New Roman" w:hAnsi="David;Times New Roman"/>
          <w:b/>
          <w:bCs/>
          <w:i/>
          <w:iCs/>
          <w:spacing w:val="10"/>
        </w:rPr>
        <w:t>Prisons do not Reduce Recidivism: The High Cost of Ignoring Science</w:t>
      </w:r>
      <w:r>
        <w:rPr>
          <w:rFonts w:cs="David;Times New Roman" w:ascii="David;Times New Roman" w:hAnsi="David;Times New Roman"/>
          <w:b/>
          <w:bCs/>
          <w:spacing w:val="10"/>
        </w:rPr>
        <w:t xml:space="preserve">, 91 The </w:t>
      </w:r>
      <w:r>
        <w:rPr>
          <w:rFonts w:cs="David;Times New Roman" w:ascii="David;Times New Roman" w:hAnsi="David;Times New Roman"/>
          <w:b/>
          <w:bCs/>
          <w:smallCaps/>
          <w:spacing w:val="10"/>
        </w:rPr>
        <w:t>Prison Journal</w:t>
      </w:r>
      <w:r>
        <w:rPr>
          <w:rFonts w:cs="David;Times New Roman" w:ascii="David;Times New Roman" w:hAnsi="David;Times New Roman"/>
          <w:b/>
          <w:bCs/>
          <w:spacing w:val="10"/>
        </w:rPr>
        <w:t xml:space="preserve"> 48 (2011)</w:t>
      </w:r>
      <w:r>
        <w:rPr>
          <w:rFonts w:cs="David;Times New Roman" w:ascii="David;Times New Roman" w:hAnsi="David;Times New Roman"/>
          <w:b/>
          <w:bCs/>
          <w:spacing w:val="10"/>
          <w:rtl w:val="true"/>
        </w:rPr>
        <w:t xml:space="preserve">)".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David;Times New Roman" w:hAnsi="David;Times New Roman" w:cs="David;Times New Roman"/>
          <w:b/>
          <w:bCs/>
          <w:i/>
          <w:i/>
          <w:iCs/>
          <w:spacing w:val="10"/>
        </w:rPr>
      </w:pPr>
      <w:r>
        <w:rPr>
          <w:rFonts w:cs="David;Times New Roman" w:ascii="David;Times New Roman" w:hAnsi="David;Times New Roman"/>
          <w:b/>
          <w:bCs/>
          <w:i/>
          <w:iCs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;Times New Roman" w:hAnsi="David;Times New Roman"/>
          <w:spacing w:val="10"/>
          <w:rtl w:val="true"/>
        </w:rPr>
        <w:t>עוד אוסיף</w:t>
      </w:r>
      <w:r>
        <w:rPr>
          <w:rFonts w:cs="David;Times New Roman" w:ascii="David;Times New Roman" w:hAnsi="David;Times New Roman"/>
          <w:spacing w:val="10"/>
          <w:rtl w:val="true"/>
        </w:rPr>
        <w:t xml:space="preserve">, </w:t>
      </w:r>
      <w:r>
        <w:rPr>
          <w:rFonts w:ascii="David;Times New Roman" w:hAnsi="David;Times New Roman"/>
          <w:spacing w:val="10"/>
          <w:rtl w:val="true"/>
        </w:rPr>
        <w:t>כי לא נעלם מעיניי בעת גזירת עונשו של הנאשם</w:t>
      </w:r>
      <w:r>
        <w:rPr>
          <w:rFonts w:cs="David;Times New Roman" w:ascii="David;Times New Roman" w:hAnsi="David;Times New Roman"/>
          <w:spacing w:val="10"/>
          <w:rtl w:val="true"/>
        </w:rPr>
        <w:t xml:space="preserve">, </w:t>
      </w:r>
      <w:r>
        <w:rPr>
          <w:rFonts w:ascii="David;Times New Roman" w:hAnsi="David;Times New Roman"/>
          <w:spacing w:val="10"/>
          <w:rtl w:val="true"/>
        </w:rPr>
        <w:t>העדכון של גורמי הטיפול בבית</w:t>
      </w:r>
      <w:r>
        <w:rPr>
          <w:rFonts w:cs="David;Times New Roman" w:ascii="David;Times New Roman" w:hAnsi="David;Times New Roman"/>
          <w:spacing w:val="10"/>
          <w:rtl w:val="true"/>
        </w:rPr>
        <w:t>-</w:t>
      </w:r>
      <w:r>
        <w:rPr>
          <w:rFonts w:ascii="David;Times New Roman" w:hAnsi="David;Times New Roman"/>
          <w:spacing w:val="10"/>
          <w:rtl w:val="true"/>
        </w:rPr>
        <w:t xml:space="preserve">המעצר </w:t>
      </w:r>
      <w:r>
        <w:rPr>
          <w:rFonts w:cs="David;Times New Roman" w:ascii="David;Times New Roman" w:hAnsi="David;Times New Roman"/>
          <w:spacing w:val="10"/>
          <w:rtl w:val="true"/>
        </w:rPr>
        <w:t>"</w:t>
      </w:r>
      <w:r>
        <w:rPr>
          <w:rFonts w:ascii="David;Times New Roman" w:hAnsi="David;Times New Roman"/>
          <w:spacing w:val="10"/>
          <w:rtl w:val="true"/>
        </w:rPr>
        <w:t>גלבוע</w:t>
      </w:r>
      <w:r>
        <w:rPr>
          <w:rFonts w:cs="David;Times New Roman" w:ascii="David;Times New Roman" w:hAnsi="David;Times New Roman"/>
          <w:spacing w:val="10"/>
          <w:rtl w:val="true"/>
        </w:rPr>
        <w:t>"</w:t>
        <w:tab/>
      </w:r>
      <w:r>
        <w:rPr>
          <w:rFonts w:ascii="David;Times New Roman" w:hAnsi="David;Times New Roman"/>
          <w:rtl w:val="true"/>
        </w:rPr>
        <w:t xml:space="preserve">שם עצור הנאשם מיום </w:t>
      </w:r>
      <w:r>
        <w:rPr>
          <w:rFonts w:cs="David;Times New Roman" w:ascii="David;Times New Roman" w:hAnsi="David;Times New Roman"/>
        </w:rPr>
        <w:t>20.05.2020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לפיו לחובת הנאשם עבירת משמעת אחת בלבד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בגין היותו מעורב בקטטה בתאו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בדיקות השתן שלו נקיות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וכי הוא נמצא בקשר רציף עם גורמי הטיפול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ומגיע לקבוצות אגפיות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ולשיחות מעקב עם העובדת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הסוציאלית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13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מנגד יש להתחשב כשיקול לחומרא בעקרון ההרתעה בעבירות נשק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ובצורך ההולך וגובר למגרן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שעה שמעשים אלו הופכים ל</w:t>
      </w:r>
      <w:r>
        <w:rPr>
          <w:rFonts w:cs="David;Times New Roman" w:ascii="David;Times New Roman" w:hAnsi="David;Times New Roman"/>
          <w:rtl w:val="true"/>
        </w:rPr>
        <w:t>"</w:t>
      </w:r>
      <w:r>
        <w:rPr>
          <w:rFonts w:ascii="David;Times New Roman" w:hAnsi="David;Times New Roman"/>
          <w:rtl w:val="true"/>
        </w:rPr>
        <w:t>מכת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מדינה</w:t>
      </w:r>
      <w:r>
        <w:rPr>
          <w:rFonts w:cs="David;Times New Roman" w:ascii="David;Times New Roman" w:hAnsi="David;Times New Roman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  <w:tab/>
      </w:r>
      <w:r>
        <w:rPr>
          <w:rFonts w:ascii="David;Times New Roman" w:hAnsi="David;Times New Roman"/>
          <w:rtl w:val="true"/>
        </w:rPr>
        <w:t>הזדמן לי לכתוב בעבר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ואדגיש זאת ביתר</w:t>
      </w:r>
      <w:r>
        <w:rPr>
          <w:rFonts w:cs="David;Times New Roman" w:ascii="David;Times New Roman" w:hAnsi="David;Times New Roman"/>
          <w:rtl w:val="true"/>
        </w:rPr>
        <w:t>-</w:t>
      </w:r>
      <w:r>
        <w:rPr>
          <w:rFonts w:ascii="David;Times New Roman" w:hAnsi="David;Times New Roman"/>
          <w:rtl w:val="true"/>
        </w:rPr>
        <w:t>שאת כעת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כי גדיעת תופעה זו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בעודה באיבה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עשויה להיות הפסע הראשון במסע הארוך להחזרת ביטחון הציבור ושלומו במרחב הציבורי והפרט גם יחד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;Times New Roman" w:hAnsi="David;Times New Roman" w:cs="David;Times New Roman"/>
          <w:spacing w:val="10"/>
        </w:rPr>
      </w:pPr>
      <w:r>
        <w:rPr>
          <w:rFonts w:cs="David;Times New Roman" w:ascii="David;Times New Roman" w:hAnsi="David;Times New Roman"/>
          <w:spacing w:val="10"/>
        </w:rPr>
        <w:t>14</w:t>
      </w:r>
      <w:r>
        <w:rPr>
          <w:rFonts w:cs="David;Times New Roman" w:ascii="David;Times New Roman" w:hAnsi="David;Times New Roman"/>
          <w:spacing w:val="10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בשקלול הנסיבות והנתונים השונים אני קובע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כי העונש הראוי בנסיבות הוא עונש של </w:t>
      </w:r>
      <w:r>
        <w:rPr>
          <w:rFonts w:cs="David;Times New Roman" w:ascii="David;Times New Roman" w:hAnsi="David;Times New Roman"/>
        </w:rPr>
        <w:t>22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חודשי מאסר בפועל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בניכוי ימי המעצר בהם נשא הנאשם עד כה מכוח המעצר עד תום ההליכים אשר הושת עליו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 xml:space="preserve">החל מיום </w:t>
      </w:r>
      <w:r>
        <w:rPr>
          <w:rFonts w:cs="David;Times New Roman" w:ascii="David;Times New Roman" w:hAnsi="David;Times New Roman"/>
        </w:rPr>
        <w:t>05.04.2020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Ruller41"/>
        <w:ind w:end="0"/>
        <w:jc w:val="both"/>
        <w:rPr>
          <w:rFonts w:ascii="David;Times New Roman" w:hAnsi="David;Times New Roman" w:cs="David;Times New Roman"/>
          <w:spacing w:val="10"/>
          <w:sz w:val="22"/>
        </w:rPr>
      </w:pPr>
      <w:r>
        <w:rPr>
          <w:rFonts w:cs="David;Times New Roman" w:ascii="David;Times New Roman" w:hAnsi="David;Times New Roman"/>
          <w:spacing w:val="10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</w:rPr>
        <w:t>15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אשר על כן אני גוזר על הנאשם</w:t>
      </w:r>
      <w:r>
        <w:rPr>
          <w:rFonts w:cs="David;Times New Roman" w:ascii="David;Times New Roman" w:hAnsi="David;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ListParagraph"/>
        <w:spacing w:lineRule="auto" w:line="360" w:before="0" w:after="0"/>
        <w:ind w:hanging="720" w:start="1440" w:end="0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א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  <w:tab/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מאסר למשך </w:t>
      </w:r>
      <w:r>
        <w:rPr>
          <w:rFonts w:cs="David;Times New Roman" w:ascii="David;Times New Roman" w:hAnsi="David;Times New Roman"/>
          <w:sz w:val="24"/>
          <w:szCs w:val="24"/>
        </w:rPr>
        <w:t>22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חודשים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>לריצוי בפועל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 xml:space="preserve">, </w:t>
      </w:r>
      <w:r>
        <w:rPr>
          <w:rFonts w:ascii="David;Times New Roman" w:hAnsi="David;Times New Roman" w:cs="David;Times New Roman"/>
          <w:sz w:val="24"/>
          <w:sz w:val="24"/>
          <w:szCs w:val="24"/>
          <w:rtl w:val="true"/>
        </w:rPr>
        <w:t xml:space="preserve">בניכוי ימי מעצרו החל מיום </w:t>
      </w:r>
      <w:r>
        <w:rPr>
          <w:rFonts w:cs="David;Times New Roman" w:ascii="David;Times New Roman" w:hAnsi="David;Times New Roman"/>
          <w:sz w:val="24"/>
          <w:szCs w:val="24"/>
        </w:rPr>
        <w:t>05.04.2020</w:t>
      </w:r>
      <w:r>
        <w:rPr>
          <w:rFonts w:cs="David;Times New Roman" w:ascii="David;Times New Roman" w:hAnsi="David;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;Times New Roman" w:hAnsi="David;Times New Roman" w:cs="David;Times New Roman"/>
          <w:sz w:val="24"/>
          <w:szCs w:val="24"/>
        </w:rPr>
      </w:pPr>
      <w:r>
        <w:rPr>
          <w:rFonts w:cs="David;Times New Roman" w:ascii="David;Times New Roman" w:hAnsi="David;Times New Roman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ב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 xml:space="preserve">מאסר על תנאי לתקופה של </w:t>
      </w:r>
      <w:r>
        <w:rPr>
          <w:rFonts w:cs="David;Times New Roman" w:ascii="David;Times New Roman" w:hAnsi="David;Times New Roman"/>
        </w:rPr>
        <w:t>10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 xml:space="preserve">חודשים שיופעל במידה והנאשם יעבור תוך </w:t>
      </w:r>
      <w:r>
        <w:rPr>
          <w:rFonts w:cs="David;Times New Roman" w:ascii="David;Times New Roman" w:hAnsi="David;Times New Roman"/>
        </w:rPr>
        <w:t>3</w:t>
      </w:r>
      <w:r>
        <w:rPr>
          <w:rFonts w:cs="David;Times New Roman" w:ascii="David;Times New Roman" w:hAnsi="David;Times New Roman"/>
          <w:rtl w:val="true"/>
        </w:rPr>
        <w:t xml:space="preserve"> </w:t>
      </w:r>
      <w:r>
        <w:rPr>
          <w:rFonts w:ascii="David;Times New Roman" w:hAnsi="David;Times New Roman"/>
          <w:rtl w:val="true"/>
        </w:rPr>
        <w:t>שנים מיום שחרורו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עבירת נשק או עבירה של הפרעה לגורמי אכיפת החוק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לרבות שוטר</w:t>
      </w:r>
      <w:r>
        <w:rPr>
          <w:rFonts w:cs="David;Times New Roman" w:ascii="David;Times New Roman" w:hAnsi="David;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rtl w:val="true"/>
        </w:rPr>
        <w:t>ג</w:t>
      </w:r>
      <w:r>
        <w:rPr>
          <w:rFonts w:cs="David;Times New Roman" w:ascii="David;Times New Roman" w:hAnsi="David;Times New Roman"/>
          <w:rtl w:val="true"/>
        </w:rPr>
        <w:t>.</w:t>
        <w:tab/>
      </w:r>
      <w:r>
        <w:rPr>
          <w:rFonts w:ascii="David;Times New Roman" w:hAnsi="David;Times New Roman"/>
          <w:rtl w:val="true"/>
        </w:rPr>
        <w:t>לא מצאתי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בנסיבות העניין</w:t>
      </w:r>
      <w:r>
        <w:rPr>
          <w:rFonts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/>
          <w:rtl w:val="true"/>
        </w:rPr>
        <w:t>להטיל על הנאשם קנס כספי</w:t>
      </w:r>
      <w:r>
        <w:rPr>
          <w:rFonts w:cs="David;Times New Roman" w:ascii="David;Times New Roman" w:hAnsi="David;Times New Roman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;Times New Roman" w:hAnsi="David;Times New Roman" w:cs="David;Times New Roman"/>
        </w:rPr>
      </w:pPr>
      <w:r>
        <w:rPr>
          <w:rFonts w:cs="David;Times New Roman" w:ascii="David;Times New Roman" w:hAnsi="David;Times New Roman"/>
          <w:rtl w:val="true"/>
        </w:rPr>
      </w:r>
    </w:p>
    <w:p>
      <w:pPr>
        <w:pStyle w:val="Normal"/>
        <w:shd w:fill="FFFFFF" w:val="clear"/>
        <w:spacing w:lineRule="auto" w:line="360"/>
        <w:ind w:end="426"/>
        <w:jc w:val="both"/>
        <w:rPr>
          <w:rFonts w:ascii="David;Times New Roman" w:hAnsi="David;Times New Roman" w:cs="David;Times New Roman"/>
        </w:rPr>
      </w:pPr>
      <w:r>
        <w:rPr>
          <w:rFonts w:ascii="David;Times New Roman" w:hAnsi="David;Times New Roman"/>
          <w:b/>
          <w:b/>
          <w:bCs/>
          <w:u w:val="single"/>
          <w:rtl w:val="true"/>
        </w:rPr>
        <w:t>המזכירות תשלח עותק מגזר הדין לשב</w:t>
      </w:r>
      <w:r>
        <w:rPr>
          <w:rFonts w:cs="David;Times New Roman" w:ascii="David;Times New Roman" w:hAnsi="David;Times New Roman"/>
          <w:b/>
          <w:bCs/>
          <w:u w:val="single"/>
          <w:rtl w:val="true"/>
        </w:rPr>
        <w:t>"</w:t>
      </w:r>
      <w:r>
        <w:rPr>
          <w:rFonts w:ascii="David;Times New Roman" w:hAnsi="David;Times New Roman"/>
          <w:b/>
          <w:b/>
          <w:bCs/>
          <w:u w:val="single"/>
          <w:rtl w:val="true"/>
        </w:rPr>
        <w:t>ס</w:t>
      </w:r>
    </w:p>
    <w:p>
      <w:pPr>
        <w:pStyle w:val="Normal"/>
        <w:ind w:end="0"/>
        <w:jc w:val="start"/>
        <w:rPr>
          <w:rFonts w:ascii="Arial;Arial" w:hAnsi="Arial;Arial" w:cs="Arial;Arial"/>
          <w:color w:val="FFFFFF"/>
          <w:sz w:val="2"/>
          <w:szCs w:val="2"/>
        </w:rPr>
      </w:pPr>
      <w:r>
        <w:rPr>
          <w:rFonts w:cs="Arial;Arial" w:ascii="Arial;Arial" w:hAnsi="Arial;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;Times New Roman"/>
          <w:b/>
          <w:bCs/>
          <w:sz w:val="28"/>
          <w:szCs w:val="28"/>
        </w:rPr>
      </w:pPr>
      <w:bookmarkStart w:id="10" w:name="Nitan"/>
      <w:r>
        <w:rPr>
          <w:rFonts w:ascii="Arial;Arial" w:hAnsi="Arial;Arial" w:cs="Arial;Arial"/>
          <w:b/>
          <w:b/>
          <w:bCs/>
          <w:rtl w:val="true"/>
        </w:rPr>
        <w:t>ניתן היום</w:t>
      </w:r>
      <w:r>
        <w:rPr>
          <w:rFonts w:cs="Arial;Arial" w:ascii="Arial;Arial" w:hAnsi="Arial;Arial"/>
          <w:b/>
          <w:bCs/>
          <w:rtl w:val="true"/>
        </w:rPr>
        <w:t xml:space="preserve">,  </w:t>
      </w:r>
      <w:r>
        <w:rPr>
          <w:rFonts w:ascii="Arial;Arial" w:hAnsi="Arial;Arial" w:cs="Arial;Arial"/>
          <w:b/>
          <w:b/>
          <w:bCs/>
          <w:rtl w:val="true"/>
        </w:rPr>
        <w:t>ה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אדר תשפ</w:t>
      </w:r>
      <w:r>
        <w:rPr>
          <w:rFonts w:cs="Arial;Arial" w:ascii="Arial;Arial" w:hAnsi="Arial;Arial"/>
          <w:b/>
          <w:bCs/>
          <w:rtl w:val="true"/>
        </w:rPr>
        <w:t>"</w:t>
      </w:r>
      <w:r>
        <w:rPr>
          <w:rFonts w:ascii="Arial;Arial" w:hAnsi="Arial;Arial" w:cs="Arial;Arial"/>
          <w:b/>
          <w:b/>
          <w:bCs/>
          <w:rtl w:val="true"/>
        </w:rPr>
        <w:t>א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cs="Arial;Arial" w:ascii="Arial;Arial" w:hAnsi="Arial;Arial"/>
          <w:b/>
          <w:bCs/>
        </w:rPr>
        <w:t>17</w:t>
      </w:r>
      <w:r>
        <w:rPr>
          <w:rFonts w:cs="Arial;Arial" w:ascii="Arial;Arial" w:hAnsi="Arial;Arial"/>
          <w:b/>
          <w:bCs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 xml:space="preserve">פברואר </w:t>
      </w:r>
      <w:r>
        <w:rPr>
          <w:rFonts w:cs="Arial;Arial" w:ascii="Arial;Arial" w:hAnsi="Arial;Arial"/>
          <w:b/>
          <w:bCs/>
        </w:rPr>
        <w:t>2021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בהעדר הצדדים</w:t>
      </w:r>
      <w:r>
        <w:rPr>
          <w:rFonts w:cs="Arial;Arial" w:ascii="Arial;Arial" w:hAnsi="Arial;Arial"/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;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;Arial" w:hAnsi="Arial;Arial" w:cs="FrankRuehl;Times New Roman"/>
          <w:sz w:val="28"/>
          <w:szCs w:val="28"/>
        </w:rPr>
      </w:pPr>
      <w:r>
        <w:rPr>
          <w:rFonts w:cs="FrankRuehl;Times New Roman" w:ascii="Arial;Arial" w:hAnsi="Arial;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;Times New Roman"/>
          <w:color w:val="FFFFFF"/>
          <w:sz w:val="2"/>
          <w:szCs w:val="2"/>
        </w:rPr>
      </w:pPr>
      <w:r>
        <w:rPr>
          <w:rFonts w:cs="FrankRuehl;Times New Roman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'</w:t>
      </w: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Arial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altName w:val="Verdana"/>
    <w:charset w:val="00" w:characterSet="windows-1252"/>
    <w:family w:val="swiss"/>
    <w:pitch w:val="variable"/>
  </w:font>
  <w:font w:name="Calibri">
    <w:altName w:val="Times New Roman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</w:rPr>
    </w:pPr>
    <w:r>
      <w:rPr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Fonts w:cs="FrankRuehl;Times New Roman" w:ascii="FrankRuehl;Times New Roman" w:hAnsi="FrankRuehl;Times New Roman"/>
      </w:rPr>
      <w:fldChar w:fldCharType="separate"/>
    </w:r>
    <w:r>
      <w:rPr>
        <w:rtl w:val="true"/>
        <w:rFonts w:cs="FrankRuehl;Times New Roman" w:ascii="FrankRuehl;Times New Roman" w:hAnsi="FrankRuehl;Times New Roman"/>
      </w:rPr>
      <w:t>18</w:t>
    </w:r>
    <w:r>
      <w:rPr>
        <w:rtl w:val="true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</w:rPr>
    </w:pPr>
    <w:r>
      <w:rPr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') </w:t>
    </w:r>
    <w:r>
      <w:rPr>
        <w:rFonts w:cs="David;Times New Roman" w:ascii="David;Times New Roman" w:hAnsi="David;Times New Roman"/>
        <w:color w:val="000000"/>
        <w:sz w:val="22"/>
        <w:szCs w:val="22"/>
      </w:rPr>
      <w:t>12376-04-20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ורד ארפאעיה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;Times New Roman"/>
    </w:rPr>
  </w:style>
  <w:style w:type="character" w:styleId="WW8Num2z0">
    <w:name w:val="WW8Num2z0"/>
    <w:qFormat/>
    <w:rPr>
      <w:rFonts w:cs="Times New Roman;Times New Roman"/>
      <w:szCs w:val="24"/>
    </w:rPr>
  </w:style>
  <w:style w:type="character" w:styleId="WW8Num2z1">
    <w:name w:val="WW8Num2z1"/>
    <w:qFormat/>
    <w:rPr>
      <w:rFonts w:cs="Times New Roman;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;Times New Roman"/>
      <w:sz w:val="16"/>
      <w:szCs w:val="16"/>
    </w:rPr>
  </w:style>
  <w:style w:type="character" w:styleId="PageNumber">
    <w:name w:val="page number"/>
    <w:rPr>
      <w:rFonts w:cs="Times New Roman;Times New Roman"/>
    </w:rPr>
  </w:style>
  <w:style w:type="character" w:styleId="Hyperlink">
    <w:name w:val="Hyperlink"/>
    <w:rPr>
      <w:rFonts w:cs="Times New Roman;Times New Roman"/>
      <w:color w:val="0000FF"/>
      <w:u w:val="single"/>
    </w:rPr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default">
    <w:name w:val="default"/>
    <w:qFormat/>
    <w:rPr>
      <w:rFonts w:ascii="Times New Roman;Times New Roman" w:hAnsi="Times New Roman;Times New Roman" w:cs="Times New Roman;Times New Roman"/>
    </w:rPr>
  </w:style>
  <w:style w:type="character" w:styleId="LineNumber">
    <w:name w:val="line number"/>
    <w:rPr>
      <w:rFonts w:cs="Times New Roman;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;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Verdana" w:hAnsi="Tahoma;Verdana" w:cs="Tahoma;Verdan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;Times New Roman" w:hAnsi="Calibri;Times New Roman" w:cs="Arial;Arial"/>
      <w:sz w:val="22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;Times New Roman"/>
      <w:spacing w:val="10"/>
      <w:sz w:val="20"/>
      <w:szCs w:val="28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Times New Roman;Times New Roman"/>
      <w:spacing w:val="10"/>
      <w:sz w:val="20"/>
      <w:szCs w:val="28"/>
    </w:rPr>
  </w:style>
  <w:style w:type="paragraph" w:styleId="Ruller42">
    <w:name w:val="Ruller 4 ממוספר"/>
    <w:basedOn w:val="Normal"/>
    <w:qFormat/>
    <w:pPr>
      <w:overflowPunct w:val="false"/>
      <w:autoSpaceDE w:val="false"/>
      <w:spacing w:lineRule="auto" w:line="360"/>
      <w:ind w:hanging="0" w:start="0" w:end="0"/>
      <w:jc w:val="both"/>
    </w:pPr>
    <w:rPr>
      <w:rFonts w:ascii="Garamond" w:hAnsi="Garamond" w:cs="Times New Roman;Times New Roman"/>
      <w:spacing w:val="10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/>
  </w:style>
  <w:style w:type="paragraph" w:styleId="p00">
    <w:name w:val="p00"/>
    <w:basedOn w:val="Normal"/>
    <w:qFormat/>
    <w:pPr>
      <w:autoSpaceDE w:val="false"/>
      <w:spacing w:before="60" w:after="0"/>
      <w:ind w:hanging="0" w:start="2835" w:end="0"/>
      <w:jc w:val="both"/>
    </w:pPr>
    <w:rPr>
      <w:rFonts w:cs="Times New Roman;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38.a.1" TargetMode="External"/><Relationship Id="rId6" Type="http://schemas.openxmlformats.org/officeDocument/2006/relationships/hyperlink" Target="http://www.nevo.co.il/law/70301/40ja.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26202327" TargetMode="External"/><Relationship Id="rId11" Type="http://schemas.openxmlformats.org/officeDocument/2006/relationships/hyperlink" Target="http://www.nevo.co.il/case/26418313" TargetMode="External"/><Relationship Id="rId12" Type="http://schemas.openxmlformats.org/officeDocument/2006/relationships/hyperlink" Target="http://www.nevo.co.il/case/26686085" TargetMode="External"/><Relationship Id="rId13" Type="http://schemas.openxmlformats.org/officeDocument/2006/relationships/hyperlink" Target="http://www.nevo.co.il/case/5578534" TargetMode="External"/><Relationship Id="rId14" Type="http://schemas.openxmlformats.org/officeDocument/2006/relationships/hyperlink" Target="http://www.nevo.co.il/case/22317462" TargetMode="External"/><Relationship Id="rId15" Type="http://schemas.openxmlformats.org/officeDocument/2006/relationships/hyperlink" Target="http://www.nevo.co.il/case/25612982" TargetMode="External"/><Relationship Id="rId16" Type="http://schemas.openxmlformats.org/officeDocument/2006/relationships/hyperlink" Target="http://www.nevo.co.il/case/22137915" TargetMode="External"/><Relationship Id="rId17" Type="http://schemas.openxmlformats.org/officeDocument/2006/relationships/hyperlink" Target="http://www.nevo.co.il/law/70301/338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474168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5995135" TargetMode="External"/><Relationship Id="rId22" Type="http://schemas.openxmlformats.org/officeDocument/2006/relationships/hyperlink" Target="http://www.nevo.co.il/case/5950172" TargetMode="External"/><Relationship Id="rId23" Type="http://schemas.openxmlformats.org/officeDocument/2006/relationships/hyperlink" Target="http://www.nevo.co.il/case/5568354" TargetMode="External"/><Relationship Id="rId24" Type="http://schemas.openxmlformats.org/officeDocument/2006/relationships/hyperlink" Target="http://www.nevo.co.il/case/27171364" TargetMode="External"/><Relationship Id="rId25" Type="http://schemas.openxmlformats.org/officeDocument/2006/relationships/hyperlink" Target="http://www.nevo.co.il/case/26538254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5821327" TargetMode="External"/><Relationship Id="rId28" Type="http://schemas.openxmlformats.org/officeDocument/2006/relationships/hyperlink" Target="http://www.nevo.co.il/case/23750625" TargetMode="External"/><Relationship Id="rId29" Type="http://schemas.openxmlformats.org/officeDocument/2006/relationships/hyperlink" Target="http://www.nevo.co.il/case/17941073" TargetMode="External"/><Relationship Id="rId30" Type="http://schemas.openxmlformats.org/officeDocument/2006/relationships/hyperlink" Target="http://www.nevo.co.il/case/17938943" TargetMode="External"/><Relationship Id="rId31" Type="http://schemas.openxmlformats.org/officeDocument/2006/relationships/hyperlink" Target="http://www.nevo.co.il/law/70301/40j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6248029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2021-02-24T09:49:00Z</dcterms:created>
  <dc:creator> </dc:creator>
  <dc:description/>
  <cp:keywords/>
  <dc:language>en-IL</dc:language>
  <cp:lastModifiedBy>orly</cp:lastModifiedBy>
  <dcterms:modified xsi:type="dcterms:W3CDTF">2021-02-24T09:49:00Z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ורד ארפאעיה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26202327;26418313;26686085;5578534;22317462;25612982;22137915;21474168;25824863;5995135;5950172;5568354;27171364;26538254;7791493;5821327;23750625;17941073;17938943;6248029</vt:lpwstr>
  </property>
  <property fmtid="{D5CDD505-2E9C-101B-9397-08002B2CF9AE}" pid="9" name="CITY">
    <vt:lpwstr>חי'</vt:lpwstr>
  </property>
  <property fmtid="{D5CDD505-2E9C-101B-9397-08002B2CF9AE}" pid="10" name="DATE">
    <vt:lpwstr>20210217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סארי ג'יוסי</vt:lpwstr>
  </property>
  <property fmtid="{D5CDD505-2E9C-101B-9397-08002B2CF9AE}" pid="14" name="LAWLISTTMP1">
    <vt:lpwstr>70301/144.b;275;338.a.1;40ja.1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12376</vt:lpwstr>
  </property>
  <property fmtid="{D5CDD505-2E9C-101B-9397-08002B2CF9AE}" pid="23" name="NEWPARTB">
    <vt:lpwstr>04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20210224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390120210217</vt:lpwstr>
  </property>
  <property fmtid="{D5CDD505-2E9C-101B-9397-08002B2CF9AE}" pid="69" name="TYPE_N_DATE">
    <vt:lpwstr>39020210217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