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4"/>
        <w:gridCol w:w="366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12401-05-22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גמל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ליטל 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קותייבה גמל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שי טובים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אל ראזק גמל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שאדי נאטור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3" w:start="84" w:end="0"/>
        <w:contextualSpacing/>
        <w:jc w:val="both"/>
        <w:rPr>
          <w:rFonts w:ascii="David" w:hAnsi="David" w:eastAsia="David" w:cs="David"/>
        </w:rPr>
      </w:pPr>
      <w:bookmarkStart w:id="8" w:name="ABSTRACT_START"/>
      <w:bookmarkEnd w:id="8"/>
      <w:r>
        <w:rPr>
          <w:rFonts w:ascii="David" w:hAnsi="David" w:eastAsia="David"/>
          <w:rtl w:val="true"/>
        </w:rPr>
        <w:t xml:space="preserve">הנאשמים הורשעו במסגרת הסדר טיעון בעובדות כתב אישום מתוקן </w:t>
      </w:r>
      <w:r>
        <w:rPr>
          <w:rFonts w:ascii="David" w:hAnsi="David" w:eastAsia="David"/>
          <w:b/>
          <w:b/>
          <w:bCs/>
          <w:rtl w:val="true"/>
        </w:rPr>
        <w:t xml:space="preserve">בעבירת נשיאה והובלת נשק ותחמושת לפי </w:t>
      </w:r>
      <w:hyperlink r:id="rId4">
        <w:r>
          <w:rPr>
            <w:rStyle w:val="Hyperlink"/>
            <w:rFonts w:ascii="David" w:hAnsi="David" w:eastAsia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b/>
            <w:bCs/>
          </w:rPr>
          <w:t>144</w:t>
        </w:r>
        <w:r>
          <w:rPr>
            <w:rStyle w:val="Hyperlink"/>
            <w:rFonts w:eastAsia="David"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eastAsia="David"/>
            <w:b/>
            <w:b/>
            <w:bCs/>
            <w:rtl w:val="true"/>
          </w:rPr>
          <w:t>ב</w:t>
        </w:r>
        <w:r>
          <w:rPr>
            <w:rStyle w:val="Hyperlink"/>
            <w:rFonts w:eastAsia="David" w:cs="David" w:ascii="David" w:hAnsi="David"/>
            <w:b/>
            <w:bCs/>
            <w:rtl w:val="true"/>
          </w:rPr>
          <w:t>)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רישא וסיפא ל</w:t>
      </w:r>
      <w:hyperlink r:id="rId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תשל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ז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1977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להלן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החוק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כמפורט בעובדות 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ביום </w:t>
      </w:r>
      <w:r>
        <w:rPr>
          <w:rFonts w:eastAsia="David" w:cs="David" w:ascii="David" w:hAnsi="David"/>
        </w:rPr>
        <w:t>11.4.22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 רק סכסוך שהתגלע בין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קרוב משפחתם פורסאן לבין המתלוננים א</w:t>
      </w:r>
      <w:r>
        <w:rPr>
          <w:rFonts w:eastAsia="David" w:cs="David" w:ascii="David" w:hAnsi="David"/>
          <w:rtl w:val="true"/>
        </w:rPr>
        <w:t>.</w:t>
      </w:r>
      <w:r>
        <w:rPr>
          <w:rFonts w:ascii="David" w:hAnsi="David" w:eastAsia="David"/>
          <w:rtl w:val="true"/>
        </w:rPr>
        <w:t>א ו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 xml:space="preserve">., </w:t>
      </w:r>
      <w:r>
        <w:rPr>
          <w:rFonts w:ascii="David" w:hAnsi="David" w:eastAsia="David"/>
          <w:rtl w:val="true"/>
        </w:rPr>
        <w:t>הצטיידו כל אחד מהנאשמים באקדח שסוגו אינו ידוע במדויק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בהמשך היום התקשר א</w:t>
      </w:r>
      <w:r>
        <w:rPr>
          <w:rFonts w:eastAsia="David" w:cs="David" w:ascii="David" w:hAnsi="David"/>
          <w:rtl w:val="true"/>
        </w:rPr>
        <w:t>.</w:t>
      </w:r>
      <w:r>
        <w:rPr>
          <w:rFonts w:ascii="David" w:hAnsi="David" w:eastAsia="David"/>
          <w:rtl w:val="true"/>
        </w:rPr>
        <w:t>א לפורסאן והציע שייפגשו לפתור את הסכסוך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זמן קצר לאחר מכן הגיעו השלושה למתחם בית המתלוננים בקלנסווה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באמצעות רכב מסוג רנו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כשנאשם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נושא על גופו אקדח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ובכניסה למקום החלו לשוחח עימם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במהלך השיחה פנה א</w:t>
      </w:r>
      <w:r>
        <w:rPr>
          <w:rFonts w:eastAsia="David" w:cs="David" w:ascii="David" w:hAnsi="David"/>
          <w:rtl w:val="true"/>
        </w:rPr>
        <w:t>.</w:t>
      </w:r>
      <w:r>
        <w:rPr>
          <w:rFonts w:ascii="David" w:hAnsi="David" w:eastAsia="David"/>
          <w:rtl w:val="true"/>
        </w:rPr>
        <w:t xml:space="preserve">א לנאשם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בכדי ללחוץ את ידו אך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בתגובה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הסיט את ידו לאחור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דחפו ושלף לפתע את האקדח שהסתיר במכנסיו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והשלושה עזבו את המקום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בהמשך היום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קרוב משפחת הנאשמים הציע כי הצדדים לסכסוך ייפגשו שוב בבית המתלוננים במטרה להביא לפיוס וסיום המריבה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</w:t>
      </w:r>
      <w:r>
        <w:rPr>
          <w:rFonts w:eastAsia="David" w:cs="David" w:ascii="David" w:hAnsi="David"/>
          <w:rtl w:val="true"/>
        </w:rPr>
        <w:t>.</w:t>
      </w:r>
      <w:r>
        <w:rPr>
          <w:rFonts w:ascii="David" w:hAnsi="David" w:eastAsia="David"/>
          <w:rtl w:val="true"/>
        </w:rPr>
        <w:t>א השיב בחיוב להצעה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בשעה </w:t>
      </w:r>
      <w:r>
        <w:rPr>
          <w:rFonts w:eastAsia="David" w:cs="David" w:ascii="David" w:hAnsi="David"/>
        </w:rPr>
        <w:t>21:15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הגיעו הנאשמים ברכב אאודי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מצויידים בשני אקדחים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לבית המתלוננים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הנאשמים יצאו מהרכב והחלו לשוחח עם א</w:t>
      </w:r>
      <w:r>
        <w:rPr>
          <w:rFonts w:eastAsia="David" w:cs="David" w:ascii="David" w:hAnsi="David"/>
          <w:rtl w:val="true"/>
        </w:rPr>
        <w:t>.</w:t>
      </w:r>
      <w:r>
        <w:rPr>
          <w:rFonts w:ascii="David" w:hAnsi="David" w:eastAsia="David"/>
          <w:rtl w:val="true"/>
        </w:rPr>
        <w:t>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התפתח ביניהם ויכוח קצר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במהלכו נכנסו לפתע לרכבם ושלפו מתוכו את אקדחיהם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מיד לאחר מכן החל הרכב בנסיעה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כשבמהלכה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במרחק של כעשרה מטרים מהמתלוננים ובני משפחתם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נורו מתוך הרכב מספר יריות לעברם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שלא פגעו בהם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hanging="283" w:start="84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3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ביום </w:t>
      </w:r>
      <w:r>
        <w:rPr>
          <w:rFonts w:eastAsia="David" w:cs="David" w:ascii="David" w:hAnsi="David"/>
        </w:rPr>
        <w:t>31.10.22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הציגו הצדדים הסדר דיוני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במסגרתו הודו הנאשמים בעובדות 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הופנה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מפאת גילו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לתסקיר חובה של שירות המבחן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סוכם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הנאשמים יפקידו פיצוי בסך </w:t>
      </w:r>
      <w:r>
        <w:rPr>
          <w:rFonts w:eastAsia="David" w:cs="David" w:ascii="David" w:hAnsi="David"/>
        </w:rPr>
        <w:t>55,000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>לטובת מר בדר נביל מוחמד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סך של </w:t>
      </w:r>
      <w:r>
        <w:rPr>
          <w:rFonts w:eastAsia="David" w:cs="David" w:ascii="David" w:hAnsi="David"/>
        </w:rPr>
        <w:t>7,500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לכל אחד עובר למועד הטיעונים ופיצוי נוסף בסך </w:t>
      </w:r>
      <w:r>
        <w:rPr>
          <w:rFonts w:eastAsia="David" w:cs="David" w:ascii="David" w:hAnsi="David"/>
        </w:rPr>
        <w:t>20,000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לכל אחד במסגרת גזר הדין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מר בדר נפגע באירוע ירי שהתבצע סמוך לאירועי כתב האישום אך לא יוחס לנאשמים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בניגוד למוסכם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הפיצוי הראשוני לא הופקד במועד שהתחייבו לו</w:t>
      </w:r>
      <w:r>
        <w:rPr>
          <w:rFonts w:ascii="David" w:hAnsi="David" w:eastAsia="David"/>
          <w:rtl w:val="true"/>
        </w:rPr>
        <w:t xml:space="preserve"> אלא בסמוך למועד גזר הדין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נאשם </w:t>
      </w:r>
      <w:r>
        <w:rPr>
          <w:rFonts w:eastAsia="David" w:cs="David" w:ascii="David" w:hAnsi="David"/>
          <w:b/>
          <w:bCs/>
          <w:u w:val="single"/>
        </w:rPr>
        <w:t>1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 w:eastAsia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3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הנאשם בן </w:t>
      </w:r>
      <w:r>
        <w:rPr>
          <w:rFonts w:eastAsia="David" w:cs="David" w:ascii="David" w:hAnsi="David"/>
        </w:rPr>
        <w:t>22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עבד עובר למעצרו כשליח פיצה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בעל תעודת בגרות חלקית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מנהל קשר זוגי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לנאשם הרשעה אחת בגין התנהגות שהפרה את שלום הציבור משנת </w:t>
      </w:r>
      <w:r>
        <w:rPr>
          <w:rFonts w:eastAsia="David" w:cs="David" w:ascii="David" w:hAnsi="David"/>
        </w:rPr>
        <w:t>2022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הנאשם הסביר כי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הוא בן דודו אך הכחיש את המיוחס לו וטען כי המתלוננים העלילו עליו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במעמד הדיון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הבהיר כי אמר את הדברים בשל חוסר הבנה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מאחר שסבר שמיוחס לו מעשה הירי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ניסה להרחיק את עצמו מהתנהלות שולית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צמצם בפרטים וציין כי אינו זקוק להתערבות טיפולית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שירות המבחן העריך כי מחזיק בעמדות בעייתיות בכל הקשור לציות לחוק ולהתנהלות שולית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לרבות בתחום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ושחשיפתו לגורמים עבריינים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מגבירים את הסיכון הנשקף ממנו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לפיכך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באו בהמלצה טיפולית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3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עוד הוגש </w:t>
      </w:r>
      <w:r>
        <w:rPr>
          <w:rFonts w:ascii="David" w:hAnsi="David" w:eastAsia="David"/>
          <w:b/>
          <w:b/>
          <w:bCs/>
          <w:rtl w:val="true"/>
        </w:rPr>
        <w:t>תצהיר נפגע 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תע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)- </w:t>
      </w:r>
      <w:r>
        <w:rPr>
          <w:rFonts w:ascii="David" w:hAnsi="David" w:eastAsia="David"/>
          <w:rtl w:val="true"/>
        </w:rPr>
        <w:t>מר בדר נביל מוחמד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כעולה מתצהירו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נפגע באירוע ירי שבוצע כלפיו וכלפי בנו ואחרים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כולם ממשפחת המתלוננים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בהמשכם של אירועי כתב האישום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 יוחסה לנאשמים מעורבות באירוע זה בכתב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עם זאת הסדר הצדדים כולל הסכמה לפצותו בסכום נכבד בסך </w:t>
      </w:r>
      <w:r>
        <w:rPr>
          <w:rFonts w:eastAsia="David" w:cs="David" w:ascii="David" w:hAnsi="David"/>
        </w:rPr>
        <w:t>55,000</w:t>
      </w:r>
      <w:r>
        <w:rPr>
          <w:rFonts w:eastAsia="David" w:cs="David" w:ascii="David" w:hAnsi="David"/>
          <w:rtl w:val="true"/>
        </w:rPr>
        <w:t xml:space="preserve"> ₪. </w:t>
      </w:r>
    </w:p>
    <w:p>
      <w:pPr>
        <w:pStyle w:val="Normal"/>
        <w:spacing w:before="0" w:after="0"/>
        <w:ind w:start="84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תמצית טיעוני הצדדים 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3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באמצעות 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ליטל שירי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עמדה בטיעוניה על חומרת מעשי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בכך שנאשם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נשא נשק בשני מפגשים עם המתלוננים ובנוכחותם בארוע ירי שבוצע מרכב שבו נסעו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לדבריה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מדובר בנסיבה מחמירה שיש ליתן לה משקל בקביעת המתחם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הוגש לעניין זה </w:t>
      </w:r>
      <w:hyperlink r:id="rId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5522/20</w:t>
        </w:r>
      </w:hyperlink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עוד עמדה על  פגיעתם בערכים המוגנים של הגנה על שלום הציבור וביטחונו והסיכון הרב הגלום בהם ומגמת ההחמרה בענישה בעבירות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בעיקר משהמעשים מבוצעים על רקע סכסוך פעוט ערך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 xml:space="preserve">לפיכך עתרה למתחם ענישה הנע בין </w:t>
      </w:r>
      <w:r>
        <w:rPr>
          <w:rFonts w:eastAsia="David" w:cs="David" w:ascii="David" w:hAnsi="David"/>
        </w:rPr>
        <w:t>42-62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והפנתה לפסיקה נוהגת ובראשה ל</w:t>
      </w:r>
      <w:hyperlink r:id="rId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5602/22</w:t>
        </w:r>
      </w:hyperlink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אשר לנסיבות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ציינה כי הודו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הרשעתו של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אינה בעבירה דומה אך תסקירו משקף בעייתיות בהתנהלותו וסיכון להמשך התנהגות עוברת חוק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לפיכך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עותרים לגזור עליו מאסר בן </w:t>
      </w:r>
      <w:r>
        <w:rPr>
          <w:rFonts w:eastAsia="David" w:cs="David" w:ascii="David" w:hAnsi="David"/>
        </w:rPr>
        <w:t>48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אשר לנאשם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שלו עבר רלבנטי בעבירת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עותרים לעונש מאסר בן </w:t>
      </w:r>
      <w:r>
        <w:rPr>
          <w:rFonts w:eastAsia="David" w:cs="David" w:ascii="David" w:hAnsi="David"/>
        </w:rPr>
        <w:t>50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וענישה נלווית הכוללת קנס ופיצוי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שי טובים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 ליתן משקל לתיקון כתב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שלא מיוחס לנאשם ביצוע הירי וכן שנשא נשק שאינו טעון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הפנה לפסיקה שבה נקבעו מתחמים מתונים יותר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וסבור כי יש לקבוע מתחם דומה הנע בין </w:t>
      </w:r>
      <w:r>
        <w:rPr>
          <w:rFonts w:eastAsia="David" w:cs="David" w:ascii="David" w:hAnsi="David"/>
        </w:rPr>
        <w:t>20-40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ונוכח הודאת הנאשם וחסכון בעדויות המתלוננת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למקמו בתחתיתו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שאדי נאטור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הצטרף לטיעונים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והוסיף שכתב האישום תוקן בשל קושי ראייתי ממשי לקשור את הנאשמים לאירועי הירי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אשר לסכסוך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הסכים שלא מדובר בסכסוך דמים אלא בסכסוך קל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והפסול בהתנהלות הנאשמים שנשאו אקדחים אך ללא תחמושת וללא סיכון האחרים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אשר לפיצוי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הסביר כי מטרתו להושיט לנפגעים יד לשלום ומלמד כי הנאשמים נוטלים אחריות על התנהלותם הפסולה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הנאשמים הביעו צער וחרטה על מעשיהם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הצדדים הגישו פסיקה לתמיכה בעתירתם העונשית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3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דומה שאין צורך להכביר מילים ביחס לחומרתן של עבירות הנשק והסיכון הנשקף מהן לשלום הציבור וביטחונו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למרבה הצער עבירות בנשק חם הפכו להיות תופעה נפוצה במחוזותינו ולעיתים תכופות אנו עדי לנזקי עבירות אלו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בדמות פגיעות בגוף או בנפש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ואף אובדן חיי אדם </w:t>
      </w:r>
      <w:r>
        <w:rPr>
          <w:rFonts w:eastAsia="David" w:cs="David" w:ascii="David" w:hAnsi="David"/>
          <w:rtl w:val="true"/>
        </w:rPr>
        <w:t>(</w:t>
      </w:r>
      <w:hyperlink r:id="rId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4456/21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אבו עבסה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23.1.2022</w:t>
      </w:r>
      <w:r>
        <w:rPr>
          <w:rFonts w:eastAsia="David" w:cs="David" w:ascii="David" w:hAnsi="David"/>
          <w:rtl w:val="true"/>
        </w:rPr>
        <w:t xml:space="preserve">)). </w:t>
      </w:r>
      <w:r>
        <w:rPr>
          <w:rFonts w:ascii="David" w:hAnsi="David" w:eastAsia="David"/>
          <w:rtl w:val="true"/>
        </w:rPr>
        <w:t>נוכח מימדיה המדאיגים של התופעה נרתמו גם בתי המשפט למאבק למיגורה במדיניות ענישה בלתי מתפשרת כלפי כל עברייני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מתן משקל בכורה לשיקול ההרתעתי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אף לנאשמים צעירים ונעדרי עבר פלילי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המסר העונשי הנגזר ממדיניות הענישה האמורה הוא כי שומר נפשו ושלומו – ירחק מעבירות הנשק באשר הן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קלות כחמורות</w:t>
      </w:r>
      <w:r>
        <w:rPr>
          <w:rFonts w:eastAsia="David" w:cs="David" w:ascii="David" w:hAnsi="David"/>
          <w:b/>
          <w:bCs/>
          <w:rtl w:val="true"/>
        </w:rPr>
        <w:t xml:space="preserve">" </w:t>
      </w:r>
      <w:r>
        <w:rPr>
          <w:rFonts w:eastAsia="David" w:cs="David" w:ascii="David" w:hAnsi="David"/>
          <w:rtl w:val="true"/>
        </w:rPr>
        <w:t>(</w:t>
      </w:r>
      <w:hyperlink r:id="rId9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78/21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מדינת ישראל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26.7.2022</w:t>
      </w:r>
      <w:r>
        <w:rPr>
          <w:rFonts w:eastAsia="David" w:cs="David" w:ascii="David" w:hAnsi="David"/>
          <w:rtl w:val="true"/>
        </w:rPr>
        <w:t>);</w:t>
      </w:r>
      <w:r>
        <w:rPr>
          <w:rFonts w:cs="David" w:ascii="David" w:hAnsi="David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עדאב אבו נאעסה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22.5.2022</w:t>
      </w:r>
      <w:r>
        <w:rPr>
          <w:rFonts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; </w:t>
      </w:r>
      <w:hyperlink r:id="rId1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2482/22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אחמד קדורה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5-6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eastAsia="David" w:cs="David" w:ascii="David" w:hAnsi="David"/>
        </w:rPr>
        <w:t>14.4.2022</w:t>
      </w:r>
      <w:r>
        <w:rPr>
          <w:rFonts w:eastAsia="David" w:cs="David" w:ascii="David" w:hAnsi="David"/>
          <w:rtl w:val="true"/>
        </w:rPr>
        <w:t xml:space="preserve">); </w:t>
      </w:r>
      <w:hyperlink r:id="rId1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מוחמד ג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בארין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31.5.2022</w:t>
      </w:r>
      <w:r>
        <w:rPr>
          <w:rFonts w:eastAsia="David" w:cs="David" w:ascii="David" w:hAnsi="David"/>
          <w:rtl w:val="true"/>
        </w:rPr>
        <w:t xml:space="preserve">); </w:t>
      </w: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6011/21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חאלד דסוקי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25.11.2021</w:t>
      </w:r>
      <w:r>
        <w:rPr>
          <w:rFonts w:eastAsia="David" w:cs="David" w:ascii="David" w:hAnsi="David"/>
          <w:rtl w:val="true"/>
        </w:rPr>
        <w:t xml:space="preserve">); </w:t>
      </w:r>
      <w:hyperlink r:id="rId14">
        <w:r>
          <w:rPr>
            <w:rStyle w:val="Hyperlink"/>
            <w:rFonts w:ascii="David" w:hAnsi="David" w:eastAsia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eastAsia="David"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eastAsia="David"/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rFonts w:eastAsia="David" w:cs="David" w:ascii="David" w:hAnsi="David"/>
          <w:spacing w:val="10"/>
          <w:sz w:val="20"/>
          <w:shd w:fill="FFFFFF" w:val="clear"/>
        </w:rPr>
        <w:t>10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eastAsia="David" w:cs="David" w:ascii="David" w:hAnsi="David"/>
          <w:spacing w:val="10"/>
          <w:sz w:val="20"/>
          <w:shd w:fill="FFFFFF" w:val="clear"/>
        </w:rPr>
        <w:t>28.12.2021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; </w:t>
      </w:r>
      <w:hyperlink r:id="rId1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2283/22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אל נבארי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31.7.2022</w:t>
      </w:r>
      <w:r>
        <w:rPr>
          <w:rFonts w:eastAsia="David" w:cs="David" w:ascii="David" w:hAnsi="David"/>
          <w:rtl w:val="true"/>
        </w:rPr>
        <w:t xml:space="preserve">); </w:t>
      </w:r>
      <w:hyperlink r:id="rId1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78/21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26.7.2022</w:t>
      </w:r>
      <w:r>
        <w:rPr>
          <w:rFonts w:eastAsia="David" w:cs="David" w:ascii="David" w:hAnsi="David"/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rtl w:val="true"/>
        </w:rPr>
        <w:t>'</w:t>
      </w:r>
      <w:r>
        <w:rPr>
          <w:rFonts w:ascii="David" w:hAnsi="David" w:eastAsia="David"/>
          <w:rtl w:val="true"/>
        </w:rPr>
        <w:t>מגיפה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זו לא חמקה מעינו של המחוקק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בחר להחמיר עם עונשיהם של אלה הבוחרים לקחת חלק בעבירות 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דברי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השופט קרא</w:t>
      </w:r>
      <w:r>
        <w:rPr>
          <w:rFonts w:eastAsia="David" w:cs="David" w:ascii="David" w:hAnsi="David"/>
          <w:rtl w:val="true"/>
        </w:rPr>
        <w:t xml:space="preserve">, </w:t>
      </w:r>
      <w:hyperlink r:id="rId1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6496/21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ריאן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20.12.2021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וקיבלה ביטוי מוחשי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במסגרת 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בו נקבעו עונשי מינימום לעבירות נשק באשר הן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באופן שככלל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העונש שיושת בגין עבירות אלו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יפחת מרבע העונש המרבי שנקבע לעבירה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-58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425" w:start="84" w:end="0"/>
        <w:contextualSpacing/>
        <w:jc w:val="both"/>
        <w:textAlignment w:val="baseline"/>
        <w:rPr/>
      </w:pPr>
      <w:r>
        <w:rPr>
          <w:rFonts w:ascii="David" w:hAnsi="David" w:eastAsia="David"/>
          <w:b/>
          <w:b/>
          <w:bCs/>
          <w:rtl w:val="true"/>
        </w:rPr>
        <w:t>בענייננו</w:t>
      </w:r>
      <w:r>
        <w:rPr>
          <w:rFonts w:eastAsia="David" w:cs="David" w:ascii="David" w:hAnsi="David"/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נסיבות מעשי הנאשמים חמורות ופגעו פגיעה ממשית בערכים המוגנים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ברקע המעשים סכסוך זוטא שטיבו לא הובהר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בני דודים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פעלו בצוותא עם קרוב משפחתם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הציגו מול המתלוננים מצג שפניהם לפיוס ולסיום הסכסוך אך מעשיהם מלמדים אחרת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הצטייד באקדח במפגש הראשון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כשאחד המתלוננים מושיט לו את ידו לשלום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משיב את פניו ריקם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מסיט את ידו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דחפו ושולף במפתיע אקדח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במפגש השני שיזמו מול המתלוננים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מתנהלים שניהם באופן שמלמד כי תכננו ליישב את הסכסוך בדרכי אלימות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הצטיידו מבעוד מועד באקדחים ושלפו את נשקם מול המתלוננים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מדובר באירוע מתמשך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תחילתו במפגש ראשון שבו הצטייד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באקדח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המשכו במפגש נוסף שיזמו ובו הגיעו השניים מצוידים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ונסעו בתוך 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שמתוכו ביצע מי מנוסעיו ירי מכוון לעבר המתלוננים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וכפי שצוין ע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י הצדדים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מעשיהם ליבו את הסכסוך ובהמשך הערב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בוצע ירי נוסף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שבו נפגעו בני משפחת המתלוננים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מעשה שאינו מיוחס לנאשמים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84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425" w:start="84" w:end="0"/>
        <w:contextualSpacing/>
        <w:jc w:val="both"/>
        <w:textAlignment w:val="baseline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 </w:t>
      </w:r>
      <w:r>
        <w:rPr/>
        <w:t>24.2.21</w:t>
      </w:r>
      <w:r>
        <w:rPr>
          <w:rtl w:val="true"/>
        </w:rPr>
        <w:t>,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חלייחל</w:t>
      </w:r>
      <w:r>
        <w:rPr>
          <w:rtl w:val="true"/>
        </w:rPr>
        <w:t xml:space="preserve">").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),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חלייחל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, 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להבדיל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התממש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מתעצם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התעצמותו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).</w:t>
      </w:r>
    </w:p>
    <w:p>
      <w:pPr>
        <w:pStyle w:val="Normal"/>
        <w:spacing w:lineRule="auto" w:line="360" w:before="0" w:after="120"/>
        <w:ind w:start="84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425" w:start="84" w:end="0"/>
        <w:contextualSpacing/>
        <w:jc w:val="both"/>
        <w:textAlignment w:val="baseline"/>
        <w:rPr/>
      </w:pPr>
      <w:r>
        <w:rPr>
          <w:rFonts w:ascii="David" w:hAnsi="David" w:eastAsia="David"/>
          <w:rtl w:val="true"/>
        </w:rPr>
        <w:t>אשר לפוטנציאל הנזק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אתן משקל מסויים לכך שלא יוחסה לנאשמים נשיאת אקדחים טעונים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אין בכך כדי להפחית ממידת האיום והחשש שחשו המתלוננים ובני המשפחה שעה שהנאשמים שלפו נשקם לעברם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עוד היה הדבר עלול להביא להסלמת האירוע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במידה שמי מהמעורבים היה עושה בתגובה למעשיהם שימוש בנשק קר או חם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84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425" w:start="84" w:end="0"/>
        <w:contextualSpacing/>
        <w:jc w:val="both"/>
        <w:textAlignment w:val="baseline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גבוה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84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84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84" w:end="0"/>
        <w:contextualSpacing/>
        <w:jc w:val="both"/>
        <w:textAlignment w:val="baseline"/>
        <w:rPr/>
      </w:pPr>
      <w:r>
        <w:rPr>
          <w:rFonts w:eastAsia="David"/>
          <w:b/>
          <w:b/>
          <w:bCs/>
          <w:u w:val="single"/>
          <w:rtl w:val="true"/>
        </w:rPr>
        <w:t>מדיניות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David"/>
          <w:b/>
          <w:b/>
          <w:bCs/>
          <w:u w:val="single"/>
          <w:rtl w:val="true"/>
        </w:rPr>
        <w:t>הענישה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David"/>
          <w:b/>
          <w:b/>
          <w:bCs/>
          <w:u w:val="single"/>
          <w:rtl w:val="true"/>
        </w:rPr>
        <w:t>הנוהגת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425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בפסיקה ענפה הושתו על נושאי נשק עונשי מאסר מאחורי סורג ובריח לתקופות לא קצרות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גם במקרים שהנאשמים צעירים וזו להם הסתבכותם הראשונה עם החוק</w:t>
      </w:r>
      <w:r>
        <w:rPr>
          <w:rFonts w:eastAsia="David" w:cs="David" w:ascii="David" w:hAnsi="David"/>
          <w:rtl w:val="true"/>
        </w:rPr>
        <w:t xml:space="preserve">.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Fonts w:eastAsia="David" w:cs="David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נ</w:t>
      </w:r>
      <w:r>
        <w:rPr>
          <w:rFonts w:eastAsia="David" w:cs="David"/>
          <w:b/>
          <w:bCs/>
          <w:rtl w:val="true"/>
        </w:rPr>
        <w:t xml:space="preserve">' </w:t>
      </w:r>
      <w:r>
        <w:rPr>
          <w:rFonts w:eastAsia="David"/>
          <w:b/>
          <w:b/>
          <w:bCs/>
          <w:rtl w:val="true"/>
        </w:rPr>
        <w:t>פלוני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 w:cs="David"/>
          <w:rtl w:val="true"/>
        </w:rPr>
        <w:t>(</w:t>
      </w:r>
      <w:r>
        <w:rPr>
          <w:rFonts w:eastAsia="David" w:cs="David"/>
        </w:rPr>
        <w:t>14.9.22</w:t>
      </w:r>
      <w:r>
        <w:rPr>
          <w:rFonts w:eastAsia="David" w:cs="David"/>
          <w:rtl w:val="true"/>
        </w:rPr>
        <w:t xml:space="preserve">)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rFonts w:eastAsia="David" w:cs="David"/>
          <w:rtl w:val="true"/>
        </w:rPr>
        <w:t xml:space="preserve"> </w:t>
      </w:r>
      <w:r>
        <w:rPr>
          <w:rFonts w:eastAsia="David"/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זה</w:t>
      </w:r>
      <w:r>
        <w:rPr>
          <w:rFonts w:eastAsia="David" w:cs="David"/>
          <w:rtl w:val="true"/>
        </w:rPr>
        <w:t xml:space="preserve">, </w:t>
      </w:r>
      <w:r>
        <w:rPr>
          <w:rFonts w:eastAsia="David"/>
          <w:rtl w:val="true"/>
        </w:rPr>
        <w:t>התקבל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מדינה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תושב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האזור</w:t>
      </w:r>
      <w:r>
        <w:rPr>
          <w:rFonts w:eastAsia="David" w:cs="David"/>
          <w:rtl w:val="true"/>
        </w:rPr>
        <w:t xml:space="preserve">, </w:t>
      </w:r>
      <w:r>
        <w:rPr>
          <w:rFonts w:eastAsia="David"/>
          <w:rtl w:val="true"/>
        </w:rPr>
        <w:t>שנשא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אקדח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טעון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ברכב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ונגזרו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 w:cs="David"/>
        </w:rPr>
        <w:t>18</w:t>
      </w:r>
      <w:r>
        <w:rPr>
          <w:rFonts w:eastAsia="David" w:cs="David"/>
          <w:rtl w:val="true"/>
        </w:rPr>
        <w:t xml:space="preserve"> </w:t>
      </w:r>
      <w:r>
        <w:rPr>
          <w:rFonts w:eastAsia="David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מאסר</w:t>
      </w:r>
      <w:r>
        <w:rPr>
          <w:rFonts w:eastAsia="David" w:cs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בית המשפט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השופט שטיין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קבע מתחם ענישה ראוי שנע בין </w:t>
      </w:r>
      <w:r>
        <w:rPr>
          <w:rFonts w:eastAsia="David" w:cs="David" w:ascii="David" w:hAnsi="David"/>
        </w:rPr>
        <w:t>30-42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עונשו של המשיב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ללא עבר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הוחמר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מבלי למצות את הדין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למאסר בן </w:t>
      </w:r>
      <w:r>
        <w:rPr>
          <w:rFonts w:eastAsia="David" w:cs="David" w:ascii="David" w:hAnsi="David"/>
        </w:rPr>
        <w:t>28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עוד ניתן למצוא בפסיקה אבחנה בין מקרי נשיאת נשק שנסיבותיהן פחותות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בגדרם נקבע מתחם ענישה שנע בין </w:t>
      </w:r>
      <w:r>
        <w:rPr>
          <w:rFonts w:eastAsia="David" w:cs="David" w:ascii="David" w:hAnsi="David"/>
        </w:rPr>
        <w:t>20-40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אפנה ל</w:t>
      </w:r>
      <w:hyperlink r:id="rId2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6021/21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עבוד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19.12.2021</w:t>
      </w:r>
      <w:r>
        <w:rPr>
          <w:rFonts w:eastAsia="David" w:cs="David" w:ascii="David" w:hAnsi="David"/>
          <w:rtl w:val="true"/>
        </w:rPr>
        <w:t xml:space="preserve">); </w:t>
      </w:r>
      <w:hyperlink r:id="rId2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930/22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חטיב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מדינת ישראל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31.7.2022</w:t>
      </w:r>
      <w:r>
        <w:rPr>
          <w:rFonts w:eastAsia="David" w:cs="David" w:ascii="David" w:hAnsi="David"/>
          <w:rtl w:val="true"/>
        </w:rPr>
        <w:t xml:space="preserve">), </w:t>
      </w:r>
      <w:hyperlink r:id="rId2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מח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מרכז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10686-05-20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עאזם</w:t>
      </w:r>
      <w:r>
        <w:rPr>
          <w:rFonts w:ascii="David" w:hAnsi="David" w:eastAsia="David"/>
          <w:rtl w:val="true"/>
        </w:rPr>
        <w:t xml:space="preserve"> אליו הפנתה ההגנה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לבין מקרים חמורים יותר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כמו זה שלפנינו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בהנתן נסיבות מחמירות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עולה אף רף הענישה בהתאמה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כך בעניין </w:t>
      </w:r>
      <w:hyperlink r:id="rId2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5602/22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שהוזכר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עניין חלייחל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המזכיר את התיק שלפנינו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שם נגזרו על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בעל עבר פלילי בעבירת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ו</w:t>
      </w:r>
      <w:hyperlink r:id="rId2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309/22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ביאדסה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10.5.2022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שם הוחמר עונש בן </w:t>
      </w:r>
      <w:r>
        <w:rPr>
          <w:rFonts w:eastAsia="David" w:cs="David" w:ascii="David" w:hAnsi="David"/>
        </w:rPr>
        <w:t>19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שנגזר על נאשם שנשא שני כלי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Arial TUR;Arial" w:hAnsi="Arial TUR;Arial" w:eastAsia="Calibri" w:cs="Arial TUR;Arial"/>
          <w:color w:val="000000"/>
          <w:spacing w:val="10"/>
          <w:sz w:val="22"/>
          <w:szCs w:val="22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Arial TUR;Arial" w:hAnsi="Arial TUR;Arial" w:eastAsia="Calibri" w:cs="Arial TUR;Arial"/>
          <w:color w:val="000000"/>
          <w:spacing w:val="10"/>
          <w:sz w:val="22"/>
          <w:szCs w:val="22"/>
        </w:rPr>
      </w:pPr>
      <w:r>
        <w:rPr>
          <w:rFonts w:eastAsia="Calibri" w:cs="Arial TUR;Arial" w:ascii="Arial TUR;Arial" w:hAnsi="Arial TUR;Arial"/>
          <w:color w:val="000000"/>
          <w:spacing w:val="10"/>
          <w:sz w:val="22"/>
          <w:szCs w:val="2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283" w:start="84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שבחנתי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העבירה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הנוהגת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ראיתי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1</w:t>
      </w:r>
      <w:r>
        <w:rPr>
          <w:rFonts w:eastAsia="David"/>
          <w:rtl w:val="true"/>
        </w:rPr>
        <w:t xml:space="preserve">- </w:t>
      </w:r>
      <w:r>
        <w:rPr>
          <w:rFonts w:eastAsia="David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30-48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בפועל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ולנאשם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2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26-42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David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גזירת העונש המתאים לנאשמים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283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יליד </w:t>
      </w:r>
      <w:r>
        <w:rPr>
          <w:rFonts w:eastAsia="David" w:cs="David" w:ascii="David" w:hAnsi="David"/>
        </w:rPr>
        <w:t>2001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תסקירו אינו חיובי ומלמד על סיכון לא מבוטל הנשקף ממנו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לנאשם הרשעה אחת בעבירה של הפרת שלום הציבור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להערכת 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מחזיק בעמדות בעייתיות בנוגע לציות לחוק ולשימוש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יעידו על כך גם דרך התנהלותו באירועי התיק ובחירתו ליישב ויכוחים בדרכי אלימות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לנאשם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הרשעה קודמת מבית משפט לנוער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משנת </w:t>
      </w:r>
      <w:r>
        <w:rPr>
          <w:rFonts w:eastAsia="David" w:cs="David" w:ascii="David" w:hAnsi="David"/>
        </w:rPr>
        <w:t>2017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בנשיאת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בגינה ריצה מאסר בן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מעשיו בתיק מלמדים כי לא נרתע מהעונשים שהוטלו עליו ולא שינה את דרכיו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לקולא אזקוף לטובת הנאשמים את הודאתם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היותם עצורים תקופה שאינה קצרה ונכונותם לפצות את נפגע העבירה בסכום לא מבוטל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הגם שלא הורשעו בפגיעה בו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אתחשב עוד בשיקולי 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על יסוד כל אלו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מצאתי למקם את עונשם של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כל אחד על בסיס נתוניו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בקצהו העליון של השליש התחתון של המתחם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ולגזור עליהם עונש דומה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אני גוזרת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איפוא</w:t>
      </w:r>
      <w:r>
        <w:rPr>
          <w:rFonts w:eastAsia="David" w:cs="David" w:ascii="David" w:hAnsi="David"/>
          <w:b/>
          <w:bCs/>
          <w:rtl w:val="true"/>
        </w:rPr>
        <w:t xml:space="preserve">,  </w:t>
      </w:r>
      <w:r>
        <w:rPr>
          <w:rFonts w:ascii="David" w:hAnsi="David" w:eastAsia="David"/>
          <w:b/>
          <w:b/>
          <w:bCs/>
          <w:rtl w:val="true"/>
        </w:rPr>
        <w:t>על כל אחד מהנאשמים את העונשים הבאים</w:t>
      </w:r>
      <w:r>
        <w:rPr>
          <w:rFonts w:eastAsia="David" w:cs="David" w:ascii="David" w:hAnsi="David"/>
          <w:b/>
          <w:bCs/>
          <w:rtl w:val="true"/>
        </w:rPr>
        <w:t>:</w:t>
      </w:r>
    </w:p>
    <w:p>
      <w:pPr>
        <w:pStyle w:val="Normal"/>
        <w:spacing w:before="0" w:after="0"/>
        <w:ind w:start="84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b/>
          <w:bCs/>
        </w:rPr>
        <w:t>34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 מאסר בפועל</w:t>
      </w:r>
      <w:r>
        <w:rPr>
          <w:rFonts w:ascii="David" w:hAnsi="David" w:eastAsia="David"/>
          <w:rtl w:val="true"/>
        </w:rPr>
        <w:t xml:space="preserve"> החל מיום מעצרם </w:t>
      </w:r>
      <w:r>
        <w:rPr>
          <w:rFonts w:eastAsia="David" w:cs="David" w:ascii="David" w:hAnsi="David"/>
        </w:rPr>
        <w:t>26.4.22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מאסר על תנאי בן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לבל יעבור הנאשם עבירת נשק או עבירת אלימות מסוג פשע תוך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מיום  שחרורם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קנס בסך </w:t>
      </w:r>
      <w:r>
        <w:rPr>
          <w:rFonts w:eastAsia="David" w:cs="David" w:ascii="David" w:hAnsi="David"/>
        </w:rPr>
        <w:t>5,000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 xml:space="preserve">או </w:t>
      </w:r>
      <w:r>
        <w:rPr>
          <w:rFonts w:eastAsia="David" w:cs="David" w:ascii="David" w:hAnsi="David"/>
        </w:rPr>
        <w:t>60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 מאסר תמורתו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הקנס ישולם בשני תשלומים החל מיום </w:t>
      </w:r>
      <w:r>
        <w:rPr>
          <w:rFonts w:eastAsia="David" w:cs="David" w:ascii="David" w:hAnsi="David"/>
        </w:rPr>
        <w:t>3.4.23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פיצוי לנפגע העבירה מר בדר בסך </w:t>
      </w:r>
      <w:r>
        <w:rPr>
          <w:rFonts w:eastAsia="David" w:cs="David" w:ascii="David" w:hAnsi="David"/>
        </w:rPr>
        <w:t>27,500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>לכל אחד מהנאשמים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הפיצוי יופקד 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תשלומים החל מיום </w:t>
      </w:r>
      <w:r>
        <w:rPr>
          <w:rFonts w:eastAsia="David" w:cs="David" w:ascii="David" w:hAnsi="David"/>
        </w:rPr>
        <w:t>1.4.23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בקיזוז הפיצוי שנופקד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צו כללי למוצגים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84" w:end="0"/>
        <w:jc w:val="both"/>
        <w:textAlignment w:val="baseline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84" w:end="0"/>
        <w:jc w:val="both"/>
        <w:textAlignment w:val="baseline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Arial"/>
          <w:color w:val="FFFFFF"/>
          <w:sz w:val="2"/>
          <w:szCs w:val="2"/>
        </w:rPr>
      </w:pPr>
      <w:r>
        <w:rPr>
          <w:rFonts w:cs="Arial" w:ascii="Calibri" w:hAnsi="Calibri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12401-05-22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קותייבה גמל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494" w:hanging="360"/>
      </w:pPr>
      <w:rPr>
        <w:sz w:val="24"/>
        <w:b w:val="false"/>
        <w:szCs w:val="24"/>
        <w:bCs w:val="false"/>
        <w:rFonts w:ascii="David" w:hAnsi="David" w:cs="David"/>
        <w:lang w:bidi="he-IL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494" w:hanging="360"/>
      </w:pPr>
      <w:rPr>
        <w:sz w:val="24"/>
        <w:b w:val="false"/>
        <w:szCs w:val="24"/>
        <w:bCs w:val="false"/>
        <w:rFonts w:ascii="David" w:hAnsi="David" w:cs="David"/>
        <w:lang w:bidi="he-IL"/>
      </w:rPr>
    </w:lvl>
  </w:abstractNum>
  <w:abstractNum w:abstractNumId="3">
    <w:lvl w:ilvl="0">
      <w:start w:val="7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6905927" TargetMode="External"/><Relationship Id="rId7" Type="http://schemas.openxmlformats.org/officeDocument/2006/relationships/hyperlink" Target="http://www.nevo.co.il/case/28883087" TargetMode="External"/><Relationship Id="rId8" Type="http://schemas.openxmlformats.org/officeDocument/2006/relationships/hyperlink" Target="http://www.nevo.co.il/case/27734980" TargetMode="External"/><Relationship Id="rId9" Type="http://schemas.openxmlformats.org/officeDocument/2006/relationships/hyperlink" Target="http://www.nevo.co.il/case/27305799" TargetMode="External"/><Relationship Id="rId10" Type="http://schemas.openxmlformats.org/officeDocument/2006/relationships/hyperlink" Target="http://www.nevo.co.il/case/28268880" TargetMode="External"/><Relationship Id="rId11" Type="http://schemas.openxmlformats.org/officeDocument/2006/relationships/hyperlink" Target="http://www.nevo.co.il/case/28513828" TargetMode="External"/><Relationship Id="rId12" Type="http://schemas.openxmlformats.org/officeDocument/2006/relationships/hyperlink" Target="http://www.nevo.co.il/case/27894608" TargetMode="External"/><Relationship Id="rId13" Type="http://schemas.openxmlformats.org/officeDocument/2006/relationships/hyperlink" Target="http://www.nevo.co.il/case/27911638" TargetMode="External"/><Relationship Id="rId14" Type="http://schemas.openxmlformats.org/officeDocument/2006/relationships/hyperlink" Target="http://www.nevo.co.il/case/28152132" TargetMode="External"/><Relationship Id="rId15" Type="http://schemas.openxmlformats.org/officeDocument/2006/relationships/hyperlink" Target="http://www.nevo.co.il/case/28452933" TargetMode="External"/><Relationship Id="rId16" Type="http://schemas.openxmlformats.org/officeDocument/2006/relationships/hyperlink" Target="http://www.nevo.co.il/case/27305799" TargetMode="External"/><Relationship Id="rId17" Type="http://schemas.openxmlformats.org/officeDocument/2006/relationships/hyperlink" Target="http://www.nevo.co.il/case/27933514" TargetMode="External"/><Relationship Id="rId18" Type="http://schemas.openxmlformats.org/officeDocument/2006/relationships/hyperlink" Target="http://www.nevo.co.il/case/26905927" TargetMode="External"/><Relationship Id="rId19" Type="http://schemas.openxmlformats.org/officeDocument/2006/relationships/hyperlink" Target="http://www.nevo.co.il/case/28883087" TargetMode="External"/><Relationship Id="rId20" Type="http://schemas.openxmlformats.org/officeDocument/2006/relationships/hyperlink" Target="http://www.nevo.co.il/case/27911655" TargetMode="External"/><Relationship Id="rId21" Type="http://schemas.openxmlformats.org/officeDocument/2006/relationships/hyperlink" Target="http://www.nevo.co.il/case/28300349" TargetMode="External"/><Relationship Id="rId22" Type="http://schemas.openxmlformats.org/officeDocument/2006/relationships/hyperlink" Target="http://www.nevo.co.il/case/26645989" TargetMode="External"/><Relationship Id="rId23" Type="http://schemas.openxmlformats.org/officeDocument/2006/relationships/hyperlink" Target="http://www.nevo.co.il/case/28883087" TargetMode="External"/><Relationship Id="rId24" Type="http://schemas.openxmlformats.org/officeDocument/2006/relationships/hyperlink" Target="http://www.nevo.co.il/case/28243273" TargetMode="External"/><Relationship Id="rId25" Type="http://schemas.openxmlformats.org/officeDocument/2006/relationships/hyperlink" Target="http://www.nevo.co.il/case/28384637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2024-04-07T08:36:00Z</dcterms:created>
  <dc:creator> </dc:creator>
  <dc:description/>
  <cp:keywords/>
  <dc:language>en-IL</dc:language>
  <cp:lastModifiedBy>h1</cp:lastModifiedBy>
  <dcterms:modified xsi:type="dcterms:W3CDTF">2024-04-07T08:36:00Z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קותייבה גמל;עבד אל ראזק גמל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26905927:2;28883087:3;27734980;27305799:2;28268880;28513828;27894608;27911638;28152132;28452933;27933514;27911655;28300349;26645989;28243273;28384637</vt:lpwstr>
  </property>
  <property fmtid="{D5CDD505-2E9C-101B-9397-08002B2CF9AE}" pid="9" name="CITY">
    <vt:lpwstr>מרכז</vt:lpwstr>
  </property>
  <property fmtid="{D5CDD505-2E9C-101B-9397-08002B2CF9AE}" pid="10" name="DATE">
    <vt:lpwstr>20230227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</vt:lpwstr>
  </property>
  <property fmtid="{D5CDD505-2E9C-101B-9397-08002B2CF9AE}" pid="15" name="LAWYER">
    <vt:lpwstr>ליטל שירי;שי טובים;שאדי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12401</vt:lpwstr>
  </property>
  <property fmtid="{D5CDD505-2E9C-101B-9397-08002B2CF9AE}" pid="22" name="NEWPARTB">
    <vt:lpwstr>05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390020230227</vt:lpwstr>
  </property>
  <property fmtid="{D5CDD505-2E9C-101B-9397-08002B2CF9AE}" pid="34" name="TYPE_N_DATE">
    <vt:lpwstr>39020230227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