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12406-11-15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אברג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  <w:br/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ליטן</w:t>
            </w:r>
            <w:r>
              <w:rPr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  <w:br/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ליטן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498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/>
      </w:pPr>
      <w:bookmarkStart w:id="4" w:name="LawTable_End"/>
      <w:bookmarkEnd w:id="4"/>
      <w:r>
        <w:rPr>
          <w:rFonts w:cs="Times New Roman"/>
          <w:rtl w:val="true"/>
        </w:rPr>
        <w:t xml:space="preserve">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firstLine="1" w:start="90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פתח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425" w:start="509" w:end="0"/>
        <w:jc w:val="both"/>
        <w:rPr>
          <w:rFonts w:ascii="Calibri" w:hAnsi="Calibri" w:cs="Calibri"/>
        </w:rPr>
      </w:pPr>
      <w:bookmarkStart w:id="6" w:name="ABSTRACT_START"/>
      <w:bookmarkEnd w:id="6"/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לייצור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אמצעים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אמצעים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425"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bookmarkStart w:id="7" w:name="ABSTRACT_END"/>
      <w:bookmarkEnd w:id="7"/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תאומים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20.8.15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קשרו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לייצר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רכשו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אוגוסט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מערכות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בלצר</w:t>
      </w:r>
      <w:r>
        <w:rPr>
          <w:rFonts w:cs="Calibri" w:ascii="Calibri" w:hAnsi="Calibri"/>
          <w:rtl w:val="true"/>
        </w:rPr>
        <w:t xml:space="preserve">" – </w:t>
      </w:r>
      <w:r>
        <w:rPr>
          <w:rFonts w:ascii="Calibri" w:hAnsi="Calibri" w:cs="Calibri"/>
          <w:rtl w:val="true"/>
        </w:rPr>
        <w:t>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פירוטכניקה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מערכת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בלצר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ההדגשות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במקור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1.9.15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מצינור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הצינור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תערובת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וברגים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המטען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בלצר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המאולתר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1.9.15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ארנסט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המקום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באקראי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9.9.15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בלצר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ביודעם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המאולתר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9.9.15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בלצר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ביודעו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בלצר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ההדגשות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במקור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firstLine="16" w:start="74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מגיליון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b/>
          <w:b/>
          <w:bCs/>
          <w:rtl w:val="true"/>
        </w:rPr>
        <w:t>תע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22.6.2008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40317/07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כגנוב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מגיליון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b/>
          <w:b/>
          <w:bCs/>
          <w:rtl w:val="true"/>
        </w:rPr>
        <w:t>תע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22.6.2008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40317/07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עיקרי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ולזמינות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בהתלהטות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שהמטענים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סגורות</w:t>
      </w:r>
      <w:r>
        <w:rPr>
          <w:rFonts w:cs="Calibri" w:ascii="Calibri" w:hAnsi="Calibri"/>
          <w:rtl w:val="true"/>
        </w:rPr>
        <w:t xml:space="preserve">: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9189-12-15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19.5.2016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החסוי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ורעייתו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והזעיק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שבמסגרתם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לאצטדיון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בדיעבד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19.5.16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שגיא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בפרסום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"; </w:t>
      </w:r>
      <w:r>
        <w:rPr>
          <w:rFonts w:ascii="Calibri" w:hAnsi="Calibri" w:cs="Calibri"/>
          <w:rtl w:val="true"/>
        </w:rPr>
        <w:t>ולעניין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5779/14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אלגזי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5.2.2015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אלגזי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5-2.5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8-4.5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 xml:space="preserve">: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32508-02-11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בדראן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11.7.2011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בדראן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22300-11-15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יונגר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7.2.2016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יונגר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54104-07-12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מסארווה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20.3.2013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מסארווה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וההכרעה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עיקרי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הסניגורים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ייווצר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אבסורד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בדלתיים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אלגזי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עוסק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שהטמינו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גבירול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מתהלכים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בלצר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המצומצמת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כפול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מלכתחילה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שנמשכה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בדבריו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הודיתי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חסכתי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טלטלות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נולדה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אשתי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בהקדם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כריתת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פוליפ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הודגש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יונגר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מסארווה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פסיקה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וההכרעה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מלכתחילה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מזערי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דהוא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בדבריו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עייפתי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והסליחות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ספטמבר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מחרדות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בתרופות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כללי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Times" w:hAnsi="Times" w:cs="Times"/>
          <w:lang w:eastAsia="he-IL"/>
        </w:rPr>
      </w:pPr>
      <w:r>
        <w:rPr>
          <w:rFonts w:ascii="Times" w:hAnsi="Times" w:cs="Times"/>
          <w:rtl w:val="true"/>
          <w:lang w:eastAsia="he-IL"/>
        </w:rPr>
        <w:t>כידוע</w:t>
      </w:r>
      <w:r>
        <w:rPr>
          <w:rFonts w:cs="Times" w:ascii="Times" w:hAnsi="Times"/>
          <w:rtl w:val="true"/>
          <w:lang w:eastAsia="he-IL"/>
        </w:rPr>
        <w:t xml:space="preserve">, </w:t>
      </w:r>
      <w:r>
        <w:rPr>
          <w:rFonts w:ascii="Times" w:hAnsi="Times" w:cs="Times"/>
          <w:b/>
          <w:b/>
          <w:bCs/>
          <w:rtl w:val="true"/>
          <w:lang w:eastAsia="he-IL"/>
        </w:rPr>
        <w:t xml:space="preserve">בעקבות תיקון </w:t>
      </w:r>
      <w:r>
        <w:rPr>
          <w:rFonts w:cs="Times" w:ascii="Times" w:hAnsi="Times"/>
          <w:b/>
          <w:bCs/>
          <w:lang w:eastAsia="he-IL"/>
        </w:rPr>
        <w:t>113</w:t>
      </w:r>
      <w:r>
        <w:rPr>
          <w:rFonts w:cs="Times" w:ascii="Times" w:hAnsi="Times"/>
          <w:b/>
          <w:bCs/>
          <w:rtl w:val="true"/>
          <w:lang w:eastAsia="he-IL"/>
        </w:rPr>
        <w:t xml:space="preserve"> </w:t>
      </w:r>
      <w:r>
        <w:rPr>
          <w:rFonts w:ascii="Times" w:hAnsi="Times" w:cs="Times"/>
          <w:b/>
          <w:b/>
          <w:bCs/>
          <w:rtl w:val="true"/>
          <w:lang w:eastAsia="he-IL"/>
        </w:rPr>
        <w:t>ל</w:t>
      </w:r>
      <w:hyperlink r:id="rId51">
        <w:r>
          <w:rPr>
            <w:rStyle w:val="Hyperlink"/>
            <w:rFonts w:ascii="Times" w:hAnsi="Times" w:cs="Times"/>
            <w:b/>
            <w:b/>
            <w:bCs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Times" w:ascii="Times" w:hAnsi="Times"/>
          <w:b/>
          <w:bCs/>
          <w:rtl w:val="true"/>
          <w:lang w:eastAsia="he-IL"/>
        </w:rPr>
        <w:t>,</w:t>
      </w:r>
      <w:r>
        <w:rPr>
          <w:rFonts w:cs="Times" w:ascii="Times" w:hAnsi="Times"/>
          <w:rtl w:val="true"/>
          <w:lang w:eastAsia="he-IL"/>
        </w:rPr>
        <w:t xml:space="preserve"> </w:t>
      </w:r>
      <w:r>
        <w:rPr>
          <w:rFonts w:ascii="Times" w:hAnsi="Times" w:cs="Times"/>
          <w:rtl w:val="true"/>
          <w:lang w:eastAsia="he-IL"/>
        </w:rPr>
        <w:t xml:space="preserve">מקום שמיוחסות לנאשם </w:t>
      </w:r>
      <w:r>
        <w:rPr>
          <w:rFonts w:ascii="Times" w:hAnsi="Times" w:cs="Times"/>
          <w:b/>
          <w:b/>
          <w:bCs/>
          <w:rtl w:val="true"/>
          <w:lang w:eastAsia="he-IL"/>
        </w:rPr>
        <w:t>עבירות אחדות</w:t>
      </w:r>
      <w:r>
        <w:rPr>
          <w:rFonts w:cs="Times" w:ascii="Times" w:hAnsi="Times"/>
          <w:b/>
          <w:bCs/>
          <w:rtl w:val="true"/>
          <w:lang w:eastAsia="he-IL"/>
        </w:rPr>
        <w:t>,</w:t>
      </w:r>
      <w:r>
        <w:rPr>
          <w:rFonts w:cs="Times" w:ascii="Times" w:hAnsi="Times"/>
          <w:rtl w:val="true"/>
          <w:lang w:eastAsia="he-IL"/>
        </w:rPr>
        <w:t xml:space="preserve"> </w:t>
      </w:r>
      <w:r>
        <w:rPr>
          <w:rFonts w:ascii="Times" w:hAnsi="Times" w:cs="Times"/>
          <w:rtl w:val="true"/>
          <w:lang w:eastAsia="he-IL"/>
        </w:rPr>
        <w:t xml:space="preserve">מלאכת הבניית הענישה היא למעשה בת </w:t>
      </w:r>
      <w:r>
        <w:rPr>
          <w:rFonts w:ascii="Times" w:hAnsi="Times" w:cs="Times"/>
          <w:b/>
          <w:b/>
          <w:bCs/>
          <w:rtl w:val="true"/>
          <w:lang w:eastAsia="he-IL"/>
        </w:rPr>
        <w:t>ארבעה שלבים</w:t>
      </w:r>
      <w:r>
        <w:rPr>
          <w:rFonts w:cs="Times" w:ascii="Times" w:hAnsi="Times"/>
          <w:b/>
          <w:bCs/>
          <w:rtl w:val="true"/>
          <w:lang w:eastAsia="he-IL"/>
        </w:rPr>
        <w:t>.</w:t>
      </w:r>
      <w:r>
        <w:rPr>
          <w:rFonts w:cs="Times" w:ascii="Times" w:hAnsi="Times"/>
          <w:rtl w:val="true"/>
          <w:lang w:eastAsia="he-IL"/>
        </w:rPr>
        <w:t xml:space="preserve"> </w:t>
      </w:r>
      <w:r>
        <w:rPr>
          <w:rFonts w:ascii="Times" w:hAnsi="Times" w:cs="Times"/>
          <w:rtl w:val="true"/>
          <w:lang w:eastAsia="he-IL"/>
        </w:rPr>
        <w:t xml:space="preserve">בשלב </w:t>
      </w:r>
      <w:r>
        <w:rPr>
          <w:rFonts w:ascii="Times" w:hAnsi="Times" w:cs="Times"/>
          <w:b/>
          <w:b/>
          <w:bCs/>
          <w:rtl w:val="true"/>
          <w:lang w:eastAsia="he-IL"/>
        </w:rPr>
        <w:t>הראשון</w:t>
      </w:r>
      <w:r>
        <w:rPr>
          <w:rFonts w:cs="Times" w:ascii="Times" w:hAnsi="Times"/>
          <w:b/>
          <w:bCs/>
          <w:rtl w:val="true"/>
          <w:lang w:eastAsia="he-IL"/>
        </w:rPr>
        <w:t>,</w:t>
      </w:r>
      <w:r>
        <w:rPr>
          <w:rFonts w:cs="Times" w:ascii="Times" w:hAnsi="Times"/>
          <w:rtl w:val="true"/>
          <w:lang w:eastAsia="he-IL"/>
        </w:rPr>
        <w:t xml:space="preserve"> </w:t>
      </w:r>
      <w:r>
        <w:rPr>
          <w:rFonts w:ascii="Times" w:hAnsi="Times" w:cs="Times"/>
          <w:rtl w:val="true"/>
          <w:lang w:eastAsia="he-IL"/>
        </w:rPr>
        <w:t>יש לקבוע האם מדובר ב</w:t>
      </w:r>
      <w:r>
        <w:rPr>
          <w:rFonts w:cs="Times" w:ascii="Times" w:hAnsi="Times"/>
          <w:b/>
          <w:bCs/>
          <w:rtl w:val="true"/>
          <w:lang w:eastAsia="he-IL"/>
        </w:rPr>
        <w:t>"</w:t>
      </w:r>
      <w:r>
        <w:rPr>
          <w:rFonts w:ascii="Times" w:hAnsi="Times" w:cs="Times"/>
          <w:b/>
          <w:b/>
          <w:bCs/>
          <w:rtl w:val="true"/>
          <w:lang w:eastAsia="he-IL"/>
        </w:rPr>
        <w:t>אירוע אחד</w:t>
      </w:r>
      <w:r>
        <w:rPr>
          <w:rFonts w:cs="Times" w:ascii="Times" w:hAnsi="Times"/>
          <w:b/>
          <w:bCs/>
          <w:rtl w:val="true"/>
          <w:lang w:eastAsia="he-IL"/>
        </w:rPr>
        <w:t>",</w:t>
      </w:r>
      <w:r>
        <w:rPr>
          <w:rFonts w:cs="Times" w:ascii="Times" w:hAnsi="Times"/>
          <w:rtl w:val="true"/>
          <w:lang w:eastAsia="he-IL"/>
        </w:rPr>
        <w:t xml:space="preserve"> </w:t>
      </w:r>
      <w:r>
        <w:rPr>
          <w:rFonts w:ascii="Times" w:hAnsi="Times" w:cs="Times"/>
          <w:rtl w:val="true"/>
          <w:lang w:eastAsia="he-IL"/>
        </w:rPr>
        <w:t>כך שייקבע מתחם עונש הולם אחד לאירוע כולו</w:t>
      </w:r>
      <w:r>
        <w:rPr>
          <w:rFonts w:cs="Times" w:ascii="Times" w:hAnsi="Times"/>
          <w:rtl w:val="true"/>
          <w:lang w:eastAsia="he-IL"/>
        </w:rPr>
        <w:t>,</w:t>
      </w:r>
      <w:r>
        <w:rPr>
          <w:rFonts w:cs="Times" w:ascii="Times" w:hAnsi="Times"/>
          <w:b/>
          <w:bCs/>
          <w:rtl w:val="true"/>
          <w:lang w:eastAsia="he-IL"/>
        </w:rPr>
        <w:t xml:space="preserve"> </w:t>
      </w:r>
      <w:r>
        <w:rPr>
          <w:rFonts w:ascii="Times" w:hAnsi="Times" w:cs="Times"/>
          <w:b/>
          <w:b/>
          <w:bCs/>
          <w:rtl w:val="true"/>
          <w:lang w:eastAsia="he-IL"/>
        </w:rPr>
        <w:t>או</w:t>
      </w:r>
      <w:r>
        <w:rPr>
          <w:rFonts w:ascii="Times" w:hAnsi="Times" w:cs="Times"/>
          <w:rtl w:val="true"/>
          <w:lang w:eastAsia="he-IL"/>
        </w:rPr>
        <w:t xml:space="preserve"> שמא מדובר ב</w:t>
      </w:r>
      <w:r>
        <w:rPr>
          <w:rFonts w:cs="Times" w:ascii="Times" w:hAnsi="Times"/>
          <w:b/>
          <w:bCs/>
          <w:rtl w:val="true"/>
          <w:lang w:eastAsia="he-IL"/>
        </w:rPr>
        <w:t>"</w:t>
      </w:r>
      <w:r>
        <w:rPr>
          <w:rFonts w:ascii="Times" w:hAnsi="Times" w:cs="Times"/>
          <w:b/>
          <w:b/>
          <w:bCs/>
          <w:rtl w:val="true"/>
          <w:lang w:eastAsia="he-IL"/>
        </w:rPr>
        <w:t>כמה אירועים</w:t>
      </w:r>
      <w:r>
        <w:rPr>
          <w:rFonts w:cs="Times" w:ascii="Times" w:hAnsi="Times"/>
          <w:b/>
          <w:bCs/>
          <w:rtl w:val="true"/>
          <w:lang w:eastAsia="he-IL"/>
        </w:rPr>
        <w:t>",</w:t>
      </w:r>
      <w:r>
        <w:rPr>
          <w:rFonts w:cs="Times" w:ascii="Times" w:hAnsi="Times"/>
          <w:rtl w:val="true"/>
          <w:lang w:eastAsia="he-IL"/>
        </w:rPr>
        <w:t xml:space="preserve"> </w:t>
      </w:r>
      <w:r>
        <w:rPr>
          <w:rFonts w:ascii="Times" w:hAnsi="Times" w:cs="Times"/>
          <w:rtl w:val="true"/>
          <w:lang w:eastAsia="he-IL"/>
        </w:rPr>
        <w:t xml:space="preserve">כך שייקבע מתחם עונש הולם לכל אירוע בנפרד </w:t>
      </w:r>
      <w:r>
        <w:rPr>
          <w:rFonts w:cs="Times" w:ascii="Times" w:hAnsi="Times"/>
          <w:rtl w:val="true"/>
          <w:lang w:eastAsia="he-IL"/>
        </w:rPr>
        <w:t>(</w:t>
      </w:r>
      <w:hyperlink r:id="rId52">
        <w:r>
          <w:rPr>
            <w:rStyle w:val="Hyperlink"/>
            <w:rFonts w:ascii="Times" w:hAnsi="Times" w:cs="Times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Times" w:ascii="Times" w:hAnsi="Times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" w:hAnsi="Times" w:cs="Times"/>
            <w:color w:val="0000FF"/>
            <w:u w:val="single"/>
            <w:rtl w:val="true"/>
            <w:lang w:eastAsia="he-IL"/>
          </w:rPr>
          <w:t>יג</w:t>
        </w:r>
      </w:hyperlink>
      <w:r>
        <w:rPr>
          <w:rFonts w:ascii="Times" w:hAnsi="Times" w:cs="Times"/>
          <w:rtl w:val="true"/>
          <w:lang w:eastAsia="he-IL"/>
        </w:rPr>
        <w:t xml:space="preserve"> ל</w:t>
      </w:r>
      <w:hyperlink r:id="rId53">
        <w:r>
          <w:rPr>
            <w:rStyle w:val="Hyperlink"/>
            <w:rFonts w:ascii="Times" w:hAnsi="Times" w:cs="Times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Times" w:ascii="Times" w:hAnsi="Times"/>
          <w:rtl w:val="true"/>
          <w:lang w:eastAsia="he-IL"/>
        </w:rPr>
        <w:t xml:space="preserve">). </w:t>
      </w:r>
      <w:r>
        <w:rPr>
          <w:rFonts w:ascii="Times" w:hAnsi="Times" w:cs="Times"/>
          <w:rtl w:val="true"/>
          <w:lang w:eastAsia="he-IL"/>
        </w:rPr>
        <w:t xml:space="preserve">בשלב </w:t>
      </w:r>
      <w:r>
        <w:rPr>
          <w:rFonts w:ascii="Times" w:hAnsi="Times" w:cs="Times"/>
          <w:b/>
          <w:b/>
          <w:bCs/>
          <w:rtl w:val="true"/>
          <w:lang w:eastAsia="he-IL"/>
        </w:rPr>
        <w:t>השני</w:t>
      </w:r>
      <w:r>
        <w:rPr>
          <w:rFonts w:cs="Times" w:ascii="Times" w:hAnsi="Times"/>
          <w:b/>
          <w:bCs/>
          <w:rtl w:val="true"/>
          <w:lang w:eastAsia="he-IL"/>
        </w:rPr>
        <w:t>,</w:t>
      </w:r>
      <w:r>
        <w:rPr>
          <w:rFonts w:cs="Times" w:ascii="Times" w:hAnsi="Times"/>
          <w:rtl w:val="true"/>
          <w:lang w:eastAsia="he-IL"/>
        </w:rPr>
        <w:t xml:space="preserve"> </w:t>
      </w:r>
      <w:r>
        <w:rPr>
          <w:rFonts w:ascii="Times" w:hAnsi="Times" w:cs="Times"/>
          <w:rtl w:val="true"/>
          <w:lang w:eastAsia="he-IL"/>
        </w:rPr>
        <w:t xml:space="preserve">יש לקבוע </w:t>
      </w:r>
      <w:r>
        <w:rPr>
          <w:rFonts w:ascii="Times" w:hAnsi="Times" w:cs="Times"/>
          <w:b/>
          <w:b/>
          <w:bCs/>
          <w:rtl w:val="true"/>
          <w:lang w:eastAsia="he-IL"/>
        </w:rPr>
        <w:t>מתחם עונש הולם</w:t>
      </w:r>
      <w:r>
        <w:rPr>
          <w:rFonts w:ascii="Times" w:hAnsi="Times" w:cs="Times"/>
          <w:rtl w:val="true"/>
          <w:lang w:eastAsia="he-IL"/>
        </w:rPr>
        <w:t xml:space="preserve"> לכל אירוע</w:t>
      </w:r>
      <w:r>
        <w:rPr>
          <w:rFonts w:cs="Times" w:ascii="Times" w:hAnsi="Times"/>
          <w:rtl w:val="true"/>
          <w:lang w:eastAsia="he-IL"/>
        </w:rPr>
        <w:t xml:space="preserve">, </w:t>
      </w:r>
      <w:r>
        <w:rPr>
          <w:rFonts w:ascii="Times" w:hAnsi="Times" w:cs="Times"/>
          <w:rtl w:val="true"/>
          <w:lang w:eastAsia="he-IL"/>
        </w:rPr>
        <w:t>בגין כל המעשים והעבירות שבוצעו במסגרתו</w:t>
      </w:r>
      <w:r>
        <w:rPr>
          <w:rFonts w:cs="Times" w:ascii="Times" w:hAnsi="Times"/>
          <w:rtl w:val="true"/>
          <w:lang w:eastAsia="he-IL"/>
        </w:rPr>
        <w:t xml:space="preserve">. </w:t>
      </w:r>
      <w:r>
        <w:rPr>
          <w:rFonts w:ascii="Times" w:hAnsi="Times" w:cs="Times"/>
          <w:rtl w:val="true"/>
          <w:lang w:eastAsia="he-IL"/>
        </w:rPr>
        <w:t xml:space="preserve">בשלב </w:t>
      </w:r>
      <w:r>
        <w:rPr>
          <w:rFonts w:ascii="Times" w:hAnsi="Times" w:cs="Times"/>
          <w:b/>
          <w:b/>
          <w:bCs/>
          <w:rtl w:val="true"/>
          <w:lang w:eastAsia="he-IL"/>
        </w:rPr>
        <w:t>השלישי</w:t>
      </w:r>
      <w:r>
        <w:rPr>
          <w:rFonts w:cs="Times" w:ascii="Times" w:hAnsi="Times"/>
          <w:b/>
          <w:bCs/>
          <w:rtl w:val="true"/>
          <w:lang w:eastAsia="he-IL"/>
        </w:rPr>
        <w:t>,</w:t>
      </w:r>
      <w:r>
        <w:rPr>
          <w:rFonts w:cs="Times" w:ascii="Times" w:hAnsi="Times"/>
          <w:rtl w:val="true"/>
          <w:lang w:eastAsia="he-IL"/>
        </w:rPr>
        <w:t xml:space="preserve"> </w:t>
      </w:r>
      <w:r>
        <w:rPr>
          <w:rFonts w:ascii="Times" w:hAnsi="Times" w:cs="Times"/>
          <w:rtl w:val="true"/>
          <w:lang w:eastAsia="he-IL"/>
        </w:rPr>
        <w:t xml:space="preserve">יש לבחון </w:t>
      </w:r>
      <w:r>
        <w:rPr>
          <w:rFonts w:ascii="Times" w:hAnsi="Times" w:cs="Times"/>
          <w:b/>
          <w:b/>
          <w:bCs/>
          <w:rtl w:val="true"/>
          <w:lang w:eastAsia="he-IL"/>
        </w:rPr>
        <w:t>האם יש מקום לחרוג ממתחם העונש ההולם</w:t>
      </w:r>
      <w:r>
        <w:rPr>
          <w:rFonts w:ascii="Times" w:hAnsi="Times" w:cs="Times"/>
          <w:rtl w:val="true"/>
          <w:lang w:eastAsia="he-IL"/>
        </w:rPr>
        <w:t xml:space="preserve"> – משיקולי שיקום או הגנה על שלום הציבור – אם לאו</w:t>
      </w:r>
      <w:r>
        <w:rPr>
          <w:rFonts w:cs="Times" w:ascii="Times" w:hAnsi="Times"/>
          <w:rtl w:val="true"/>
          <w:lang w:eastAsia="he-IL"/>
        </w:rPr>
        <w:t xml:space="preserve">. </w:t>
      </w:r>
      <w:r>
        <w:rPr>
          <w:rFonts w:ascii="Times" w:hAnsi="Times" w:cs="Times"/>
          <w:rtl w:val="true"/>
          <w:lang w:eastAsia="he-IL"/>
        </w:rPr>
        <w:t xml:space="preserve">בשלב </w:t>
      </w:r>
      <w:r>
        <w:rPr>
          <w:rFonts w:ascii="Times" w:hAnsi="Times" w:cs="Times"/>
          <w:b/>
          <w:b/>
          <w:bCs/>
          <w:rtl w:val="true"/>
          <w:lang w:eastAsia="he-IL"/>
        </w:rPr>
        <w:t>הרביעי</w:t>
      </w:r>
      <w:r>
        <w:rPr>
          <w:rFonts w:cs="Times" w:ascii="Times" w:hAnsi="Times"/>
          <w:b/>
          <w:bCs/>
          <w:rtl w:val="true"/>
          <w:lang w:eastAsia="he-IL"/>
        </w:rPr>
        <w:t>,</w:t>
      </w:r>
      <w:r>
        <w:rPr>
          <w:rFonts w:cs="Times" w:ascii="Times" w:hAnsi="Times"/>
          <w:rtl w:val="true"/>
          <w:lang w:eastAsia="he-IL"/>
        </w:rPr>
        <w:t xml:space="preserve"> </w:t>
      </w:r>
      <w:r>
        <w:rPr>
          <w:rFonts w:ascii="Times" w:hAnsi="Times" w:cs="Times"/>
          <w:rtl w:val="true"/>
          <w:lang w:eastAsia="he-IL"/>
        </w:rPr>
        <w:t xml:space="preserve">יש לקבוע את </w:t>
      </w:r>
      <w:r>
        <w:rPr>
          <w:rFonts w:ascii="Times" w:hAnsi="Times" w:cs="Times"/>
          <w:b/>
          <w:b/>
          <w:bCs/>
          <w:rtl w:val="true"/>
          <w:lang w:eastAsia="he-IL"/>
        </w:rPr>
        <w:t>העונש המתאים</w:t>
      </w:r>
      <w:r>
        <w:rPr>
          <w:rFonts w:ascii="Times" w:hAnsi="Times" w:cs="Times"/>
          <w:rtl w:val="true"/>
          <w:lang w:eastAsia="he-IL"/>
        </w:rPr>
        <w:t xml:space="preserve"> שיושת על הנאשם</w:t>
      </w:r>
      <w:r>
        <w:rPr>
          <w:rFonts w:cs="Times" w:ascii="Times" w:hAnsi="Times"/>
          <w:rtl w:val="true"/>
          <w:lang w:eastAsia="he-IL"/>
        </w:rPr>
        <w:t xml:space="preserve">; </w:t>
      </w:r>
      <w:r>
        <w:rPr>
          <w:rFonts w:ascii="Times" w:hAnsi="Times" w:cs="Times"/>
          <w:rtl w:val="true"/>
          <w:lang w:eastAsia="he-IL"/>
        </w:rPr>
        <w:t xml:space="preserve">וככל שאין לחרוג ממתחם העונש ההולם </w:t>
      </w:r>
      <w:r>
        <w:rPr>
          <w:rFonts w:cs="Times" w:ascii="Times" w:hAnsi="Times"/>
          <w:rtl w:val="true"/>
          <w:lang w:eastAsia="he-IL"/>
        </w:rPr>
        <w:t>(</w:t>
      </w:r>
      <w:r>
        <w:rPr>
          <w:rFonts w:ascii="Times" w:hAnsi="Times" w:cs="Times"/>
          <w:rtl w:val="true"/>
          <w:lang w:eastAsia="he-IL"/>
        </w:rPr>
        <w:t>כאמור</w:t>
      </w:r>
      <w:r>
        <w:rPr>
          <w:rFonts w:cs="Times" w:ascii="Times" w:hAnsi="Times"/>
          <w:rtl w:val="true"/>
          <w:lang w:eastAsia="he-IL"/>
        </w:rPr>
        <w:t xml:space="preserve">, </w:t>
      </w:r>
      <w:r>
        <w:rPr>
          <w:rFonts w:ascii="Times" w:hAnsi="Times" w:cs="Times"/>
          <w:rtl w:val="true"/>
          <w:lang w:eastAsia="he-IL"/>
        </w:rPr>
        <w:t>משיקולי שיקום או הגנה על שלום הציבור</w:t>
      </w:r>
      <w:r>
        <w:rPr>
          <w:rFonts w:cs="Times" w:ascii="Times" w:hAnsi="Times"/>
          <w:rtl w:val="true"/>
          <w:lang w:eastAsia="he-IL"/>
        </w:rPr>
        <w:t xml:space="preserve">), </w:t>
      </w:r>
      <w:r>
        <w:rPr>
          <w:rFonts w:ascii="Times" w:hAnsi="Times" w:cs="Times"/>
          <w:rtl w:val="true"/>
          <w:lang w:eastAsia="he-IL"/>
        </w:rPr>
        <w:t xml:space="preserve">יש לקבוע את העונש בתוך מתחם העונש ההולם </w:t>
      </w:r>
      <w:r>
        <w:rPr>
          <w:rFonts w:cs="Times" w:ascii="Times" w:hAnsi="Times"/>
          <w:rtl w:val="true"/>
          <w:lang w:eastAsia="he-IL"/>
        </w:rPr>
        <w:t>[</w:t>
      </w:r>
      <w:r>
        <w:rPr>
          <w:rFonts w:ascii="Times" w:hAnsi="Times" w:cs="Times"/>
          <w:rtl w:val="true"/>
          <w:lang w:eastAsia="he-IL"/>
        </w:rPr>
        <w:t>ראו</w:t>
      </w:r>
      <w:r>
        <w:rPr>
          <w:rFonts w:cs="Times" w:ascii="Times" w:hAnsi="Times"/>
          <w:rtl w:val="true"/>
          <w:lang w:eastAsia="he-IL"/>
        </w:rPr>
        <w:t xml:space="preserve">, </w:t>
      </w:r>
      <w:r>
        <w:rPr>
          <w:rFonts w:ascii="Times" w:hAnsi="Times" w:cs="Times"/>
          <w:rtl w:val="true"/>
          <w:lang w:eastAsia="he-IL"/>
        </w:rPr>
        <w:t>למשל</w:t>
      </w:r>
      <w:r>
        <w:rPr>
          <w:rFonts w:cs="Times" w:ascii="Times" w:hAnsi="Times"/>
          <w:rtl w:val="true"/>
          <w:lang w:eastAsia="he-IL"/>
        </w:rPr>
        <w:t xml:space="preserve">, </w:t>
      </w:r>
      <w:hyperlink r:id="rId54">
        <w:r>
          <w:rPr>
            <w:rStyle w:val="Hyperlink"/>
            <w:rFonts w:ascii="Times" w:hAnsi="Times" w:cs="Times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" w:ascii="Times" w:hAnsi="Times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" w:hAnsi="Times" w:cs="Times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" w:ascii="Times" w:hAnsi="Times"/>
            <w:color w:val="0000FF"/>
            <w:u w:val="single"/>
            <w:lang w:eastAsia="he-IL"/>
          </w:rPr>
          <w:t>911/14</w:t>
        </w:r>
      </w:hyperlink>
      <w:r>
        <w:rPr>
          <w:rFonts w:cs="Times" w:ascii="Times" w:hAnsi="Times"/>
          <w:rtl w:val="true"/>
          <w:lang w:eastAsia="he-IL"/>
        </w:rPr>
        <w:t xml:space="preserve"> </w:t>
      </w:r>
      <w:r>
        <w:rPr>
          <w:rFonts w:ascii="Times" w:hAnsi="Times" w:cs="Times"/>
          <w:b/>
          <w:b/>
          <w:bCs/>
          <w:rtl w:val="true"/>
          <w:lang w:eastAsia="he-IL"/>
        </w:rPr>
        <w:t>פלונית נ</w:t>
      </w:r>
      <w:r>
        <w:rPr>
          <w:rFonts w:cs="Times" w:ascii="Times" w:hAnsi="Times"/>
          <w:b/>
          <w:bCs/>
          <w:rtl w:val="true"/>
          <w:lang w:eastAsia="he-IL"/>
        </w:rPr>
        <w:t xml:space="preserve">' </w:t>
      </w:r>
      <w:r>
        <w:rPr>
          <w:rFonts w:ascii="Times" w:hAnsi="Times" w:cs="Times"/>
          <w:b/>
          <w:b/>
          <w:bCs/>
          <w:rtl w:val="true"/>
          <w:lang w:eastAsia="he-IL"/>
        </w:rPr>
        <w:t>מדינת ישראל</w:t>
      </w:r>
      <w:r>
        <w:rPr>
          <w:rFonts w:ascii="Times" w:hAnsi="Times" w:cs="Times"/>
          <w:rtl w:val="true"/>
          <w:lang w:eastAsia="he-IL"/>
        </w:rPr>
        <w:t xml:space="preserve"> </w:t>
      </w:r>
      <w:r>
        <w:rPr>
          <w:rFonts w:cs="Times" w:ascii="Times" w:hAnsi="Times"/>
          <w:rtl w:val="true"/>
          <w:lang w:eastAsia="he-IL"/>
        </w:rPr>
        <w:t>(</w:t>
      </w:r>
      <w:r>
        <w:rPr>
          <w:rFonts w:cs="Times" w:ascii="Times" w:hAnsi="Times"/>
          <w:lang w:eastAsia="he-IL"/>
        </w:rPr>
        <w:t>4.11.2014</w:t>
      </w:r>
      <w:r>
        <w:rPr>
          <w:rFonts w:cs="Times" w:ascii="Times" w:hAnsi="Times"/>
          <w:rtl w:val="true"/>
          <w:lang w:eastAsia="he-IL"/>
        </w:rPr>
        <w:t xml:space="preserve">)].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2918/13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18.7.2013</w:t>
      </w:r>
      <w:r>
        <w:rPr>
          <w:rFonts w:cs="Calibri" w:ascii="Calibri" w:hAnsi="Calibri"/>
          <w:rtl w:val="true"/>
        </w:rPr>
        <w:t xml:space="preserve">); 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8641/12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29-18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סולברג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5.8.2013</w:t>
      </w:r>
      <w:r>
        <w:rPr>
          <w:rFonts w:cs="Calibri" w:ascii="Calibri" w:hAnsi="Calibri"/>
          <w:rtl w:val="true"/>
        </w:rPr>
        <w:t xml:space="preserve">); 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4741/13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נעאמנה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10.6.2014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גזירת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והרתעת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ז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ובלבד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חריגה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6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הכלל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הפרט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6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בעיקר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לייצר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בלצר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b/>
          <w:b/>
          <w:bCs/>
          <w:rtl w:val="true"/>
        </w:rPr>
        <w:t>ביודעו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("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b/>
          <w:b/>
          <w:bCs/>
          <w:rtl w:val="true"/>
        </w:rPr>
        <w:t>שהכיל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לתערובת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שנרכשו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באקראי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כרסס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בנוסף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ממערכות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בלצר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שרכשו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ביודעם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להתפוצץ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ולהמית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("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והונח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סניגורו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להידחות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בלצר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להכנת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ולמטרות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שהעניק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סניגורו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מסתכמים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כשלעצמן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509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וכידוע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הסיוע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cs="Calibri" w:ascii="Calibri" w:hAnsi="Calibri"/>
          <w:rtl w:val="true"/>
        </w:rPr>
        <w:t>" (</w:t>
      </w:r>
      <w:hyperlink r:id="rId7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כפי שיפורט 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ממשנהו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העבירה הרלוונטית ועל פי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הרבים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אלגזי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הפסיקה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וגמול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b/>
          <w:bCs/>
          <w:rtl w:val="true"/>
        </w:rPr>
        <w:t>: '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שבעתיים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במציאות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הישראלית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יתגלגל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לעצמו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המבקשים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להוציא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עוינת</w:t>
      </w:r>
      <w:r>
        <w:rPr>
          <w:rFonts w:cs="Calibri" w:ascii="Calibri" w:hAnsi="Calibri"/>
          <w:b/>
          <w:bCs/>
          <w:rtl w:val="true"/>
        </w:rPr>
        <w:t xml:space="preserve">'... </w:t>
      </w:r>
      <w:r>
        <w:rPr>
          <w:rFonts w:ascii="Calibri" w:hAnsi="Calibri" w:cs="Calibri"/>
          <w:b/>
          <w:b/>
          <w:bCs/>
          <w:rtl w:val="true"/>
        </w:rPr>
        <w:t>ענייננו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המדוייק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שאלירן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התכוונו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במטען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בדמיון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מפותח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מטעני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מתפוצצים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ומסכנים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ברחובותינו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פגיעתם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ובנפש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מביאים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להסלמת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הקלים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ממלחמת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החורמה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שמנהלים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גורמי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אכיפת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חוליה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וחוליה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בשרשרת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המטען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הכנתו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הטמנתו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לתרום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תרומתו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מכאיבה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כגון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דא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</w:t>
      </w:r>
      <w:hyperlink r:id="rId7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22.2.2007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עוינות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ולעתים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למטרות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לאובדן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חטאם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נבע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נקלעו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הפשע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להלחם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לבטא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סלידתה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ודעתה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הנחרצת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>".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40"/>
        <w:ind w:start="515" w:end="0"/>
        <w:jc w:val="both"/>
        <w:rPr/>
      </w:pP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והשוו</w:t>
      </w:r>
      <w:r>
        <w:rPr>
          <w:rFonts w:cs="Calibri" w:ascii="Calibri" w:hAnsi="Calibri"/>
          <w:rtl w:val="true"/>
        </w:rPr>
        <w:t xml:space="preserve">: </w:t>
      </w:r>
      <w:hyperlink r:id="rId7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5900/15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10.5.2016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; </w:t>
      </w:r>
      <w:hyperlink r:id="rId7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5646/15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תיהוואי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14.2.2016</w:t>
      </w:r>
      <w:r>
        <w:rPr>
          <w:rFonts w:cs="Calibri" w:ascii="Calibri" w:hAnsi="Calibri"/>
          <w:rtl w:val="true"/>
        </w:rPr>
        <w:t xml:space="preserve">); </w:t>
      </w:r>
      <w:hyperlink r:id="rId7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2422/14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21.12.2014</w:t>
      </w:r>
      <w:r>
        <w:rPr>
          <w:rFonts w:cs="Calibri" w:ascii="Calibri" w:hAnsi="Calibri"/>
          <w:rtl w:val="true"/>
        </w:rPr>
        <w:t xml:space="preserve">); </w:t>
      </w:r>
      <w:hyperlink r:id="rId7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5717/14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גדבאן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2.12.2014</w:t>
      </w:r>
      <w:r>
        <w:rPr>
          <w:rFonts w:cs="Calibri" w:ascii="Calibri" w:hAnsi="Calibri"/>
          <w:rtl w:val="true"/>
        </w:rPr>
        <w:t xml:space="preserve">); </w:t>
      </w:r>
      <w:hyperlink r:id="rId7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6989/13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25.2.2014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; </w:t>
      </w:r>
      <w:hyperlink r:id="rId7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8488/11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5.11.2012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חליל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8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7949/07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אבקסיס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12.2.2008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אבקסיס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]. </w:t>
      </w:r>
    </w:p>
    <w:p>
      <w:pPr>
        <w:pStyle w:val="Normal"/>
        <w:spacing w:lineRule="auto" w:line="360" w:before="0" w:after="240"/>
        <w:ind w:start="515" w:end="0"/>
        <w:jc w:val="both"/>
        <w:rPr/>
      </w:pPr>
      <w:r>
        <w:rPr>
          <w:rFonts w:ascii="Calibri" w:hAnsi="Calibri" w:cs="Calibri"/>
          <w:rtl w:val="true"/>
        </w:rPr>
        <w:t>יוטעם כאן כי 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בגין עבירות נשק מתייחסת 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שהן פחות חמורות במידה רבה מהעבירה של ייצור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לכן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בית המשפט העליון בעניין </w:t>
      </w:r>
      <w:r>
        <w:rPr>
          <w:rFonts w:ascii="Calibri" w:hAnsi="Calibri" w:cs="Calibri"/>
          <w:b/>
          <w:b/>
          <w:bCs/>
          <w:rtl w:val="true"/>
        </w:rPr>
        <w:t xml:space="preserve">אדרי </w:t>
      </w:r>
      <w:r>
        <w:rPr>
          <w:rFonts w:ascii="Calibri" w:hAnsi="Calibri" w:cs="Calibri"/>
          <w:rtl w:val="true"/>
        </w:rPr>
        <w:t>שצוטטו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בנוגע ל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8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הובלתו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אמנם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הפנתה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לפסיקה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סגור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וגם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: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8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1567/14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7.5.2014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ממצוקתו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וההבדלים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8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5336/13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צדוק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17.11.2013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8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56232-12-14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מכלוף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8.9.2015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סגור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דחייתם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8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7658-05-14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דאוד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8.6.2015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ישראליות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8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27254-03-14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נגר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9.3.2015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סגור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8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48488-03-14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אסרסה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2.10.2014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סגור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שבבסיסו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קשיים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ראייתיים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אלגזי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נטול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אבקסיס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hyperlink r:id="rId8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58148-11-14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15.6.2015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2-1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יונגר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ספורט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</w:t>
      </w:r>
      <w:hyperlink r:id="rId8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2406/16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יונגר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29.9.2016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hyperlink r:id="rId9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5995/11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14.10.2012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hyperlink r:id="rId9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26552-07-13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פרץ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30.12.2013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מסארווה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הפחות</w:t>
      </w:r>
      <w:r>
        <w:rPr>
          <w:rFonts w:cs="Calibri" w:ascii="Calibri" w:hAnsi="Calibri"/>
          <w:rtl w:val="true"/>
        </w:rPr>
        <w:t xml:space="preserve">" – </w:t>
      </w:r>
      <w:r>
        <w:rPr>
          <w:rFonts w:ascii="Calibri" w:hAnsi="Calibri" w:cs="Calibri"/>
          <w:rtl w:val="true"/>
        </w:rPr>
        <w:t>בארבע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hyperlink r:id="rId9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3078/13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מסארווה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1.4.2014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hyperlink r:id="rId93">
        <w:r>
          <w:rPr>
            <w:rStyle w:val="Hyperlink"/>
            <w:rFonts w:ascii="Calibri" w:hAnsi="Calibri" w:cs="Calibri"/>
            <w:color w:val="0000FF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</w:rPr>
          <w:t>420/09</w:t>
        </w:r>
        <w:r>
          <w:rPr>
            <w:rStyle w:val="Hyperlink"/>
            <w:rFonts w:cs="Calibri" w:ascii="Calibri" w:hAnsi="Calibri"/>
            <w:color w:val="0000FF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עזאם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12.4.2010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hyperlink r:id="rId9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2971/10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עזאם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14.4.2011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בהגינותה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שהגיעה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להעלות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כן </w:t>
      </w:r>
      <w:r>
        <w:rPr>
          <w:rFonts w:ascii="Calibri" w:hAnsi="Calibri" w:cs="Calibri"/>
          <w:rtl w:val="true"/>
        </w:rPr>
        <w:t>שהמקרה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המתאים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הדרגתי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והשוו</w:t>
      </w:r>
      <w:r>
        <w:rPr>
          <w:rFonts w:cs="Calibri" w:ascii="Calibri" w:hAnsi="Calibri"/>
          <w:rtl w:val="true"/>
        </w:rPr>
        <w:t xml:space="preserve">: </w:t>
      </w:r>
      <w:hyperlink r:id="rId9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8465/15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זקן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12.9.2016</w:t>
      </w:r>
      <w:r>
        <w:rPr>
          <w:rFonts w:cs="Calibri" w:ascii="Calibri" w:hAnsi="Calibri"/>
          <w:rtl w:val="true"/>
        </w:rPr>
        <w:t xml:space="preserve">); </w:t>
      </w:r>
      <w:hyperlink r:id="rId9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3065/15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פוגלמן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26.6.2016</w:t>
      </w:r>
      <w:r>
        <w:rPr>
          <w:rFonts w:cs="Calibri" w:ascii="Calibri" w:hAnsi="Calibri"/>
          <w:rtl w:val="true"/>
        </w:rPr>
        <w:t xml:space="preserve">); </w:t>
      </w:r>
      <w:hyperlink r:id="rId9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5535/12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כאברי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דנציגר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1.5.2013</w:t>
      </w:r>
      <w:r>
        <w:rPr>
          <w:rFonts w:cs="Calibri" w:ascii="Calibri" w:hAnsi="Calibri"/>
          <w:rtl w:val="true"/>
        </w:rPr>
        <w:t>].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אפשר כי במקרה מתאים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שיהא חמור בנסיבותיו ובתוצאותיו מאלה של המקרה 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יהא מקום לבחון העלאת רמת 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כי כאמור באופן הדרגתי ומדוד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 ל</w:t>
      </w:r>
      <w:r>
        <w:rPr>
          <w:rFonts w:ascii="Calibri" w:hAnsi="Calibri" w:cs="Calibri"/>
          <w:rtl w:val="true"/>
        </w:rPr>
        <w:t>עתירת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המאשימה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 xml:space="preserve">יחד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פי מדיניות הענישה הקיימת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שבכוונתי לנהוג על פיה במקרה דנא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יש צורך בענישה מחמירה ומרתיעה בעבירות נשק בכלל ובעבירות נשק 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 ייצור נשק ובמיוחד מטעני 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קרובים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15" w:end="0"/>
        <w:jc w:val="both"/>
        <w:rPr/>
      </w:pP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להידחות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ונימק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שכובד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אלגזי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240" w:after="240"/>
        <w:ind w:start="1082" w:end="1418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לכאורה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בטענת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השוואת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אלירן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ואפי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התנהלותם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שלהבדיל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מהמערער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אלירן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סגור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הנובע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מקשיים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ראייתיים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שעמדו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התביעה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וכידוע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להקיש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הראוי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42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גזירת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המתאים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לנאשמים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עובדות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שלה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אמנם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משתוקן כתב האישום במסגרת הסדר הטיעון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שצורפו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ובראשן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מגיליונות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במעשיהם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ומאסרים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ומאסרים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מותנים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הרתיעו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על פי הודאתם </w:t>
      </w:r>
      <w:r>
        <w:rPr>
          <w:rFonts w:ascii="Calibri" w:hAnsi="Calibri" w:cs="Calibri"/>
          <w:rtl w:val="true"/>
        </w:rPr>
        <w:t>ונשלחו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9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2839/05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קאדר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17.11.2005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240" w:after="240"/>
        <w:ind w:start="1082" w:end="1418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הרשעות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קודמות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מעורבותו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בפלילים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מלמדת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מלקחי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אדרבא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מצביעה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בחומרתן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מבצע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המתהלכים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ברחובות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בכיסם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ומכאן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לנקוט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לרבים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ובקשייהם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והכלכליים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נסוגות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הגמול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ההרתעה</w:t>
      </w:r>
      <w:r>
        <w:rPr>
          <w:rFonts w:ascii="Calibri" w:hAnsi="Calibri" w:cs="Calibri"/>
          <w:rtl w:val="true"/>
        </w:rPr>
        <w:t xml:space="preserve"> וההגנה על שלום הציבור וביטחונו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סיכומם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באמצע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</w:t>
      </w:r>
      <w:r>
        <w:rPr>
          <w:rFonts w:ascii="Calibri" w:hAnsi="Calibri" w:cs="Calibri"/>
          <w:rtl w:val="true"/>
        </w:rPr>
        <w:t xml:space="preserve"> על הנאשמים את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8.9.15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28.9.15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26.10.15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חמש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25.10.15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numPr>
          <w:ilvl w:val="0"/>
          <w:numId w:val="5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numPr>
          <w:ilvl w:val="0"/>
          <w:numId w:val="5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40"/>
        <w:ind w:hanging="357" w:start="799" w:end="0"/>
        <w:jc w:val="both"/>
        <w:rPr>
          <w:rFonts w:ascii="Calibri" w:hAnsi="Calibri" w:cs="Calibri"/>
          <w:highlight w:val="yellow"/>
        </w:rPr>
      </w:pP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  <w:r>
        <w:rPr>
          <w:rFonts w:cs="FrankRuehl" w:ascii="Arial" w:hAnsi="Arial"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tbl>
      <w:tblPr>
        <w:bidiVisual w:val="true"/>
        <w:tblW w:w="291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19"/>
      </w:tblGrid>
      <w:tr>
        <w:trPr/>
        <w:tc>
          <w:tcPr>
            <w:tcW w:w="291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lang w:val="en-IL" w:eastAsia="en-IL"/>
              </w:rPr>
              <w:t>54678313</w:t>
            </w:r>
            <w:r>
              <w:rPr>
                <w:color w:val="FFFFFF"/>
                <w:sz w:val="2"/>
                <w:szCs w:val="2"/>
                <w:rtl w:val="true"/>
                <w:lang w:val="en-IL" w:eastAsia="en-IL"/>
              </w:rPr>
              <w:t xml:space="preserve">   </w:t>
            </w:r>
          </w:p>
        </w:tc>
      </w:tr>
      <w:tr>
        <w:trPr/>
        <w:tc>
          <w:tcPr>
            <w:tcW w:w="291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0"/>
      <w:footerReference w:type="default" r:id="rId10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12406-11-15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אברג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882" w:hanging="360"/>
      </w:pPr>
      <w:rPr>
        <w:sz w:val="2"/>
        <w:szCs w:val="22"/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cs="Times New Roman"/>
      </w:rPr>
    </w:lvl>
  </w:abstractNum>
  <w:abstractNum w:abstractNumId="5">
    <w:lvl w:ilvl="0">
      <w:start w:val="1"/>
      <w:numFmt w:val="hebrew1"/>
      <w:lvlText w:val="%1."/>
      <w:lvlJc w:val="center"/>
      <w:pPr>
        <w:tabs>
          <w:tab w:val="num" w:pos="0"/>
        </w:tabs>
        <w:ind w:start="1882" w:hanging="360"/>
      </w:pPr>
      <w:rPr>
        <w:sz w:val="2"/>
        <w:szCs w:val="22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b w:val="false"/>
      <w:bCs w:val="false"/>
      <w:sz w:val="24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David"/>
      <w:b w:val="false"/>
      <w:bCs w:val="false"/>
      <w:sz w:val="2"/>
      <w:szCs w:val="24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>
      <w:rFonts w:cs="Times New Roman"/>
      <w:b w:val="false"/>
      <w:bCs w:val="false"/>
      <w:sz w:val="24"/>
      <w:szCs w:val="24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  <w:sz w:val="2"/>
      <w:szCs w:val="22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  <w:b w:val="false"/>
      <w:bCs w:val="false"/>
      <w:sz w:val="24"/>
      <w:szCs w:val="24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  <w:sz w:val="2"/>
      <w:szCs w:val="26"/>
    </w:rPr>
  </w:style>
  <w:style w:type="character" w:styleId="WW8Num10z0">
    <w:name w:val="WW8Num10z0"/>
    <w:qFormat/>
    <w:rPr>
      <w:rFonts w:cs="Times New Roman"/>
      <w:b w:val="false"/>
      <w:bCs w:val="false"/>
      <w:color w:val="000000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  <w:b w:val="false"/>
      <w:bCs w:val="false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  <w:b w:val="false"/>
      <w:bCs w:val="false"/>
      <w:sz w:val="24"/>
      <w:szCs w:val="24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  <w:b w:val="false"/>
      <w:bCs w:val="false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  <w:sz w:val="2"/>
      <w:szCs w:val="22"/>
    </w:rPr>
  </w:style>
  <w:style w:type="character" w:styleId="WW8Num14z1">
    <w:name w:val="WW8Num1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5">
    <w:name w:val=" Char Char5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4">
    <w:name w:val=" Char Char4"/>
    <w:qFormat/>
    <w:rPr>
      <w:rFonts w:cs="Narkisim"/>
      <w:b/>
      <w:bCs/>
      <w:sz w:val="24"/>
      <w:szCs w:val="24"/>
      <w:lang w:val="en-US" w:bidi="he-IL"/>
    </w:rPr>
  </w:style>
  <w:style w:type="character" w:styleId="CharChar">
    <w:name w:val=" Char Char"/>
    <w:qFormat/>
    <w:rPr>
      <w:rFonts w:ascii="Tahoma" w:hAnsi="Tahoma" w:cs="Tahoma"/>
      <w:sz w:val="16"/>
      <w:szCs w:val="16"/>
      <w:lang w:val="en-US" w:bidi="he-IL"/>
    </w:rPr>
  </w:style>
  <w:style w:type="character" w:styleId="CharChar3">
    <w:name w:val=" Char Char3"/>
    <w:qFormat/>
    <w:rPr>
      <w:rFonts w:cs="David"/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sz w:val="24"/>
      <w:szCs w:val="24"/>
      <w:lang w:val="en-US" w:bidi="he-IL"/>
    </w:rPr>
  </w:style>
  <w:style w:type="character" w:styleId="Style12">
    <w:name w:val="תבנית רגיל תו"/>
    <w:qFormat/>
    <w:rPr>
      <w:rFonts w:ascii="Times" w:hAnsi="Times" w:cs="David"/>
      <w:sz w:val="24"/>
      <w:szCs w:val="26"/>
      <w:lang w:val="en-US" w:bidi="he-IL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harChar1">
    <w:name w:val=" Char Char1"/>
    <w:qFormat/>
    <w:rPr>
      <w:sz w:val="24"/>
      <w:szCs w:val="24"/>
      <w:lang w:val="en-US" w:bidi="he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437" w:start="652" w:end="0"/>
      <w:contextualSpacing/>
      <w:jc w:val="both"/>
    </w:pPr>
    <w:rPr>
      <w:rFonts w:ascii="Calibri" w:hAnsi="Calibri" w:cs="Arial"/>
      <w:sz w:val="22"/>
      <w:szCs w:val="22"/>
    </w:rPr>
  </w:style>
  <w:style w:type="paragraph" w:styleId="Style13">
    <w:name w:val="תבנית רגיל"/>
    <w:basedOn w:val="Normal"/>
    <w:qFormat/>
    <w:pPr>
      <w:spacing w:lineRule="auto" w:line="360"/>
      <w:jc w:val="both"/>
    </w:pPr>
    <w:rPr>
      <w:rFonts w:ascii="Times" w:hAnsi="Times" w:cs="Times"/>
      <w:szCs w:val="26"/>
    </w:rPr>
  </w:style>
  <w:style w:type="paragraph" w:styleId="1">
    <w:name w:val="פיסקת רשימה1"/>
    <w:basedOn w:val="Normal"/>
    <w:qFormat/>
    <w:pPr>
      <w:spacing w:lineRule="auto" w:line="360" w:before="0" w:after="240"/>
      <w:ind w:hanging="425" w:start="720" w:end="0"/>
      <w:jc w:val="both"/>
    </w:pPr>
    <w:rPr>
      <w:rFonts w:ascii="Calibri" w:hAnsi="Calibri" w:cs="Arial"/>
      <w:sz w:val="22"/>
      <w:szCs w:val="22"/>
    </w:rPr>
  </w:style>
  <w:style w:type="paragraph" w:styleId="Style14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c.b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e" TargetMode="External"/><Relationship Id="rId10" Type="http://schemas.openxmlformats.org/officeDocument/2006/relationships/hyperlink" Target="http://www.nevo.co.il/law/70301/40f" TargetMode="External"/><Relationship Id="rId11" Type="http://schemas.openxmlformats.org/officeDocument/2006/relationships/hyperlink" Target="http://www.nevo.co.il/law/70301/40g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144.c.3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law/70301/40jc.a" TargetMode="External"/><Relationship Id="rId19" Type="http://schemas.openxmlformats.org/officeDocument/2006/relationships/hyperlink" Target="http://www.nevo.co.il/law/70301/498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1" TargetMode="External"/><Relationship Id="rId22" Type="http://schemas.openxmlformats.org/officeDocument/2006/relationships/hyperlink" Target="http://www.nevo.co.il/law/70301/32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/40c.a" TargetMode="External"/><Relationship Id="rId25" Type="http://schemas.openxmlformats.org/officeDocument/2006/relationships/hyperlink" Target="http://www.nevo.co.il/law/70301/40c.b" TargetMode="External"/><Relationship Id="rId26" Type="http://schemas.openxmlformats.org/officeDocument/2006/relationships/hyperlink" Target="http://www.nevo.co.il/law/70301/40d" TargetMode="External"/><Relationship Id="rId27" Type="http://schemas.openxmlformats.org/officeDocument/2006/relationships/hyperlink" Target="http://www.nevo.co.il/law/70301/40e" TargetMode="External"/><Relationship Id="rId28" Type="http://schemas.openxmlformats.org/officeDocument/2006/relationships/hyperlink" Target="http://www.nevo.co.il/law/70301/40f" TargetMode="External"/><Relationship Id="rId29" Type="http://schemas.openxmlformats.org/officeDocument/2006/relationships/hyperlink" Target="http://www.nevo.co.il/law/70301/40g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/144.b2" TargetMode="External"/><Relationship Id="rId33" Type="http://schemas.openxmlformats.org/officeDocument/2006/relationships/hyperlink" Target="http://www.nevo.co.il/law/70301/144.c.3" TargetMode="External"/><Relationship Id="rId34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law/70301/40jc.a" TargetMode="External"/><Relationship Id="rId37" Type="http://schemas.openxmlformats.org/officeDocument/2006/relationships/hyperlink" Target="http://www.nevo.co.il/law/70301/498.a" TargetMode="External"/><Relationship Id="rId38" Type="http://schemas.openxmlformats.org/officeDocument/2006/relationships/hyperlink" Target="http://www.nevo.co.il/law/70301/144.b2" TargetMode="External"/><Relationship Id="rId39" Type="http://schemas.openxmlformats.org/officeDocument/2006/relationships/hyperlink" Target="http://www.nevo.co.il/law/70301/144.c.3" TargetMode="External"/><Relationship Id="rId40" Type="http://schemas.openxmlformats.org/officeDocument/2006/relationships/hyperlink" Target="http://www.nevo.co.il/law/70301/3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98.a" TargetMode="External"/><Relationship Id="rId43" Type="http://schemas.openxmlformats.org/officeDocument/2006/relationships/hyperlink" Target="http://www.nevo.co.il/law/70301/144.b2" TargetMode="External"/><Relationship Id="rId44" Type="http://schemas.openxmlformats.org/officeDocument/2006/relationships/hyperlink" Target="http://www.nevo.co.il/law/70301/144.c.3" TargetMode="External"/><Relationship Id="rId45" Type="http://schemas.openxmlformats.org/officeDocument/2006/relationships/hyperlink" Target="http://www.nevo.co.il/law/70301/498.a" TargetMode="External"/><Relationship Id="rId46" Type="http://schemas.openxmlformats.org/officeDocument/2006/relationships/hyperlink" Target="http://www.nevo.co.il/case/20771563" TargetMode="External"/><Relationship Id="rId47" Type="http://schemas.openxmlformats.org/officeDocument/2006/relationships/hyperlink" Target="http://www.nevo.co.il/case/17948154" TargetMode="External"/><Relationship Id="rId48" Type="http://schemas.openxmlformats.org/officeDocument/2006/relationships/hyperlink" Target="http://www.nevo.co.il/case/2590218" TargetMode="External"/><Relationship Id="rId49" Type="http://schemas.openxmlformats.org/officeDocument/2006/relationships/hyperlink" Target="http://www.nevo.co.il/case/20718258" TargetMode="External"/><Relationship Id="rId50" Type="http://schemas.openxmlformats.org/officeDocument/2006/relationships/hyperlink" Target="http://www.nevo.co.il/case/3878506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0jc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11302798" TargetMode="External"/><Relationship Id="rId55" Type="http://schemas.openxmlformats.org/officeDocument/2006/relationships/hyperlink" Target="http://www.nevo.co.il/law/70301/40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0c.a" TargetMode="External"/><Relationship Id="rId58" Type="http://schemas.openxmlformats.org/officeDocument/2006/relationships/hyperlink" Target="http://www.nevo.co.il/law/70301/40i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6950458" TargetMode="External"/><Relationship Id="rId61" Type="http://schemas.openxmlformats.org/officeDocument/2006/relationships/hyperlink" Target="http://www.nevo.co.il/case/5573417" TargetMode="External"/><Relationship Id="rId62" Type="http://schemas.openxmlformats.org/officeDocument/2006/relationships/hyperlink" Target="http://www.nevo.co.il/case/7730704" TargetMode="External"/><Relationship Id="rId63" Type="http://schemas.openxmlformats.org/officeDocument/2006/relationships/hyperlink" Target="http://www.nevo.co.il/law/70301/40c.b" TargetMode="External"/><Relationship Id="rId64" Type="http://schemas.openxmlformats.org/officeDocument/2006/relationships/hyperlink" Target="http://www.nevo.co.il/law/70301/40ja" TargetMode="External"/><Relationship Id="rId65" Type="http://schemas.openxmlformats.org/officeDocument/2006/relationships/hyperlink" Target="http://www.nevo.co.il/law/70301/40f" TargetMode="External"/><Relationship Id="rId66" Type="http://schemas.openxmlformats.org/officeDocument/2006/relationships/hyperlink" Target="http://www.nevo.co.il/law/70301/40g" TargetMode="External"/><Relationship Id="rId67" Type="http://schemas.openxmlformats.org/officeDocument/2006/relationships/hyperlink" Target="http://www.nevo.co.il/law/70301/40d;40e" TargetMode="External"/><Relationship Id="rId68" Type="http://schemas.openxmlformats.org/officeDocument/2006/relationships/hyperlink" Target="http://www.nevo.co.il/law/70301/40jc.a" TargetMode="External"/><Relationship Id="rId69" Type="http://schemas.openxmlformats.org/officeDocument/2006/relationships/hyperlink" Target="http://www.nevo.co.il/law/70301/144.b2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32" TargetMode="External"/><Relationship Id="rId72" Type="http://schemas.openxmlformats.org/officeDocument/2006/relationships/hyperlink" Target="http://www.nevo.co.il/law/70301/498.a" TargetMode="External"/><Relationship Id="rId73" Type="http://schemas.openxmlformats.org/officeDocument/2006/relationships/hyperlink" Target="http://www.nevo.co.il/case/5724364" TargetMode="External"/><Relationship Id="rId74" Type="http://schemas.openxmlformats.org/officeDocument/2006/relationships/hyperlink" Target="http://www.nevo.co.il/case/21472954" TargetMode="External"/><Relationship Id="rId75" Type="http://schemas.openxmlformats.org/officeDocument/2006/relationships/hyperlink" Target="http://www.nevo.co.il/case/20531134" TargetMode="External"/><Relationship Id="rId76" Type="http://schemas.openxmlformats.org/officeDocument/2006/relationships/hyperlink" Target="http://www.nevo.co.il/case/13090914" TargetMode="External"/><Relationship Id="rId77" Type="http://schemas.openxmlformats.org/officeDocument/2006/relationships/hyperlink" Target="http://www.nevo.co.il/case/17948201" TargetMode="External"/><Relationship Id="rId78" Type="http://schemas.openxmlformats.org/officeDocument/2006/relationships/hyperlink" Target="http://www.nevo.co.il/case/8291683" TargetMode="External"/><Relationship Id="rId79" Type="http://schemas.openxmlformats.org/officeDocument/2006/relationships/hyperlink" Target="http://www.nevo.co.il/case/5608029" TargetMode="External"/><Relationship Id="rId80" Type="http://schemas.openxmlformats.org/officeDocument/2006/relationships/hyperlink" Target="http://www.nevo.co.il/case/6117082" TargetMode="External"/><Relationship Id="rId81" Type="http://schemas.openxmlformats.org/officeDocument/2006/relationships/hyperlink" Target="http://www.nevo.co.il/law/70301/144" TargetMode="External"/><Relationship Id="rId82" Type="http://schemas.openxmlformats.org/officeDocument/2006/relationships/hyperlink" Target="http://www.nevo.co.il/case/16916801" TargetMode="External"/><Relationship Id="rId83" Type="http://schemas.openxmlformats.org/officeDocument/2006/relationships/hyperlink" Target="http://www.nevo.co.il/case/7821883" TargetMode="External"/><Relationship Id="rId84" Type="http://schemas.openxmlformats.org/officeDocument/2006/relationships/hyperlink" Target="http://www.nevo.co.il/case/18762911" TargetMode="External"/><Relationship Id="rId85" Type="http://schemas.openxmlformats.org/officeDocument/2006/relationships/hyperlink" Target="http://www.nevo.co.il/case/16910916" TargetMode="External"/><Relationship Id="rId86" Type="http://schemas.openxmlformats.org/officeDocument/2006/relationships/hyperlink" Target="http://www.nevo.co.il/case/13053300" TargetMode="External"/><Relationship Id="rId87" Type="http://schemas.openxmlformats.org/officeDocument/2006/relationships/hyperlink" Target="http://www.nevo.co.il/case/13077618" TargetMode="External"/><Relationship Id="rId88" Type="http://schemas.openxmlformats.org/officeDocument/2006/relationships/hyperlink" Target="http://www.nevo.co.il/case/18190069" TargetMode="External"/><Relationship Id="rId89" Type="http://schemas.openxmlformats.org/officeDocument/2006/relationships/hyperlink" Target="http://www.nevo.co.il/case/21055840" TargetMode="External"/><Relationship Id="rId90" Type="http://schemas.openxmlformats.org/officeDocument/2006/relationships/hyperlink" Target="http://www.nevo.co.il/case/6043688" TargetMode="External"/><Relationship Id="rId91" Type="http://schemas.openxmlformats.org/officeDocument/2006/relationships/hyperlink" Target="http://www.nevo.co.il/case/7789299" TargetMode="External"/><Relationship Id="rId92" Type="http://schemas.openxmlformats.org/officeDocument/2006/relationships/hyperlink" Target="http://www.nevo.co.il/case/6958835" TargetMode="External"/><Relationship Id="rId93" Type="http://schemas.openxmlformats.org/officeDocument/2006/relationships/hyperlink" Target="http://www.nevo.co.il/case/2503741" TargetMode="External"/><Relationship Id="rId94" Type="http://schemas.openxmlformats.org/officeDocument/2006/relationships/hyperlink" Target="http://www.nevo.co.il/case/5868443" TargetMode="External"/><Relationship Id="rId95" Type="http://schemas.openxmlformats.org/officeDocument/2006/relationships/hyperlink" Target="http://www.nevo.co.il/case/20787999" TargetMode="External"/><Relationship Id="rId96" Type="http://schemas.openxmlformats.org/officeDocument/2006/relationships/hyperlink" Target="http://www.nevo.co.il/case/20253096" TargetMode="External"/><Relationship Id="rId97" Type="http://schemas.openxmlformats.org/officeDocument/2006/relationships/hyperlink" Target="http://www.nevo.co.il/case/5590454" TargetMode="External"/><Relationship Id="rId98" Type="http://schemas.openxmlformats.org/officeDocument/2006/relationships/hyperlink" Target="http://www.nevo.co.il/case/5859902" TargetMode="External"/><Relationship Id="rId99" Type="http://schemas.openxmlformats.org/officeDocument/2006/relationships/hyperlink" Target="http://www.nevo.co.il/advertisements/nevo-100.doc" TargetMode="External"/><Relationship Id="rId100" Type="http://schemas.openxmlformats.org/officeDocument/2006/relationships/header" Target="header1.xml"/><Relationship Id="rId101" Type="http://schemas.openxmlformats.org/officeDocument/2006/relationships/footer" Target="footer1.xml"/><Relationship Id="rId102" Type="http://schemas.openxmlformats.org/officeDocument/2006/relationships/numbering" Target="numbering.xml"/><Relationship Id="rId103" Type="http://schemas.openxmlformats.org/officeDocument/2006/relationships/fontTable" Target="fontTable.xml"/><Relationship Id="rId104" Type="http://schemas.openxmlformats.org/officeDocument/2006/relationships/settings" Target="settings.xml"/><Relationship Id="rId10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2017-07-20T14:11:00Z</dcterms:created>
  <dc:creator> </dc:creator>
  <dc:description/>
  <cp:keywords/>
  <dc:language>en-IL</dc:language>
  <cp:lastModifiedBy>run</cp:lastModifiedBy>
  <dcterms:modified xsi:type="dcterms:W3CDTF">2017-07-20T14:11:00Z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משה אברג'יל;דוד אברג'יל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20771563;17948154;2590218;20718258;3878506;11302798;6950458;5573417;7730704;5724364;21472954;20531134;13090914;17948201;8291683;5608029;6117082;16916801;7821883;18762911;16910916;13053300;13077618;18190069;21055840;6043688;7789299;6958835;2503741</vt:lpwstr>
  </property>
  <property fmtid="{D5CDD505-2E9C-101B-9397-08002B2CF9AE}" pid="9" name="CASESLISTTMP2">
    <vt:lpwstr>5868443;20787999;20253096;5590454;5859902</vt:lpwstr>
  </property>
  <property fmtid="{D5CDD505-2E9C-101B-9397-08002B2CF9AE}" pid="10" name="CITY">
    <vt:lpwstr>ת"א</vt:lpwstr>
  </property>
  <property fmtid="{D5CDD505-2E9C-101B-9397-08002B2CF9AE}" pid="11" name="DATE">
    <vt:lpwstr>20161013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מרדכי לוי</vt:lpwstr>
  </property>
  <property fmtid="{D5CDD505-2E9C-101B-9397-08002B2CF9AE}" pid="15" name="LAWLISTTMP1">
    <vt:lpwstr>70301/144.b2:3;144.c.3:2;031;498.a:3;40jc;040b;040c.a;040i;040c.b;40ja;040f;040g;040d;040e;40jc.a;032;144</vt:lpwstr>
  </property>
  <property fmtid="{D5CDD505-2E9C-101B-9397-08002B2CF9AE}" pid="16" name="LAWYER">
    <vt:lpwstr>רפי ליטן;טל ליטן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12406</vt:lpwstr>
  </property>
  <property fmtid="{D5CDD505-2E9C-101B-9397-08002B2CF9AE}" pid="23" name="NEWPARTB">
    <vt:lpwstr>11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390020161013</vt:lpwstr>
  </property>
  <property fmtid="{D5CDD505-2E9C-101B-9397-08002B2CF9AE}" pid="35" name="TYPE_N_DATE">
    <vt:lpwstr>39020161013</vt:lpwstr>
  </property>
  <property fmtid="{D5CDD505-2E9C-101B-9397-08002B2CF9AE}" pid="36" name="VOLUME">
    <vt:lpwstr/>
  </property>
  <property fmtid="{D5CDD505-2E9C-101B-9397-08002B2CF9AE}" pid="37" name="WORDNUMPAGES">
    <vt:lpwstr>17</vt:lpwstr>
  </property>
</Properties>
</file>