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12411-02-21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מטר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מרשק מרום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באמצעות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 ו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אלירן אשכנזי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עבודי מטר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אסלאם חופאש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איהאב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לג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ולי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77" w:end="0"/>
        <w:contextualSpacing/>
        <w:jc w:val="both"/>
        <w:rPr>
          <w:rFonts w:ascii="David" w:hAnsi="David" w:eastAsia="Calibri" w:cs="David"/>
        </w:rPr>
      </w:pPr>
      <w:bookmarkStart w:id="10" w:name="ABSTRACT_START"/>
      <w:bookmarkEnd w:id="10"/>
      <w:r>
        <w:rPr>
          <w:rFonts w:ascii="David" w:hAnsi="David" w:eastAsia="Calibri"/>
          <w:rtl w:val="true"/>
        </w:rPr>
        <w:t xml:space="preserve">הנאשמים הורשעו על יסוד הודאותיהם בעובדות כתב אישום 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בשנית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במסגרת הסדר דיוני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בעבירות המפורטות בשני אישומים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באישום הראשון </w:t>
      </w: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בשתי עבירות של </w:t>
      </w:r>
      <w:r>
        <w:rPr>
          <w:rFonts w:ascii="David" w:hAnsi="David" w:eastAsia="Calibri"/>
          <w:b/>
          <w:b/>
          <w:bCs/>
          <w:rtl w:val="true"/>
        </w:rPr>
        <w:t xml:space="preserve">נשיאת נשק ואביזר נשק </w:t>
      </w:r>
      <w:r>
        <w:rPr>
          <w:rFonts w:ascii="David" w:hAnsi="David" w:eastAsia="Calibri"/>
          <w:rtl w:val="true"/>
        </w:rPr>
        <w:t xml:space="preserve">לפי </w:t>
      </w:r>
      <w:hyperlink r:id="rId7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</w:t>
      </w:r>
      <w:hyperlink r:id="rId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ז – 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2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 xml:space="preserve">הורשע בעבירה אחת של </w:t>
      </w:r>
      <w:r>
        <w:rPr>
          <w:rFonts w:ascii="David" w:hAnsi="David" w:eastAsia="Calibri"/>
          <w:b/>
          <w:b/>
          <w:bCs/>
          <w:rtl w:val="true"/>
        </w:rPr>
        <w:t xml:space="preserve">נשיאת נשק ואביזר נשק </w:t>
      </w:r>
      <w:r>
        <w:rPr>
          <w:rFonts w:ascii="David" w:hAnsi="David" w:eastAsia="Calibri"/>
          <w:rtl w:val="true"/>
        </w:rPr>
        <w:t xml:space="preserve">לפי סעיף </w:t>
      </w:r>
      <w:hyperlink r:id="rId9"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לחוק העונשין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בריבוי עבירות של </w:t>
      </w:r>
      <w:r>
        <w:rPr>
          <w:rFonts w:ascii="David" w:hAnsi="David" w:eastAsia="Calibri"/>
          <w:b/>
          <w:b/>
          <w:bCs/>
          <w:rtl w:val="true"/>
        </w:rPr>
        <w:t>נשיאת נשק ותחמושת</w:t>
      </w:r>
      <w:r>
        <w:rPr>
          <w:rFonts w:ascii="David" w:hAnsi="David" w:eastAsia="Calibri"/>
          <w:rtl w:val="true"/>
        </w:rPr>
        <w:t xml:space="preserve"> לפי סעיף </w:t>
      </w:r>
      <w:hyperlink r:id="rId10"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לחוק העונשין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ריבוי עבירות של </w:t>
      </w:r>
      <w:r>
        <w:rPr>
          <w:rFonts w:ascii="David" w:hAnsi="David" w:eastAsia="Calibri"/>
          <w:b/>
          <w:b/>
          <w:bCs/>
          <w:rtl w:val="true"/>
        </w:rPr>
        <w:t>החזקת נשק ותחמושת</w:t>
      </w:r>
      <w:r>
        <w:rPr>
          <w:rFonts w:ascii="David" w:hAnsi="David" w:eastAsia="Calibri"/>
          <w:rtl w:val="true"/>
        </w:rPr>
        <w:t xml:space="preserve"> לפי סעיף </w:t>
      </w:r>
      <w:hyperlink r:id="rId11"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לחוק העונשין ו</w:t>
      </w:r>
      <w:r>
        <w:rPr>
          <w:rFonts w:ascii="David" w:hAnsi="David" w:eastAsia="Calibri"/>
          <w:b/>
          <w:b/>
          <w:bCs/>
          <w:rtl w:val="true"/>
        </w:rPr>
        <w:t xml:space="preserve">מעשה פזיזות ורשלנות בכלי ירייה </w:t>
      </w:r>
      <w:r>
        <w:rPr>
          <w:rFonts w:ascii="David" w:hAnsi="David" w:eastAsia="Calibri"/>
          <w:rtl w:val="true"/>
        </w:rPr>
        <w:t xml:space="preserve">לפי </w:t>
      </w:r>
      <w:hyperlink r:id="rId12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338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5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77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מעובדות כתב האישום המתוקן  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הנאשמים הם חברים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ובתקופה הרלבנטית לכתב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החזיקו ונשאו בכלי נשק שונים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שנהגו לתעד את כלי הנשק השונים או את עצמם נושאים חלק מהם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ביחד או לחוד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מהאישום הראשון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המיוחס לשני הנאשמים</w:t>
      </w:r>
      <w:r>
        <w:rPr>
          <w:rFonts w:ascii="David" w:hAnsi="David" w:eastAsia="Calibri"/>
          <w:rtl w:val="true"/>
        </w:rPr>
        <w:t xml:space="preserve"> 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עובר או ביום </w:t>
      </w:r>
      <w:r>
        <w:rPr>
          <w:rFonts w:eastAsia="Calibri" w:cs="David" w:ascii="David" w:hAnsi="David"/>
        </w:rPr>
        <w:t>13.1.18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בנסיבות שאינן ידועות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הגיע לרשותו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אקדח מסוג סטאר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13.1.18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נשא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לבדו או יחד עם אחר את האקדח עם 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ואף תיעד מספר פעמים את נשיאת האקדח באמצעות מכשיר הטלפון שלו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בנסיבות שאינן ידועות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עובר או ביום </w:t>
      </w:r>
      <w:r>
        <w:rPr>
          <w:rFonts w:eastAsia="Calibri" w:cs="David" w:ascii="David" w:hAnsi="David"/>
        </w:rPr>
        <w:t>27.1.18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הגיע לרשותם של הנאשמים אקדח </w:t>
      </w:r>
      <w:r>
        <w:rPr>
          <w:rFonts w:eastAsia="Calibri" w:cs="David" w:ascii="David" w:hAnsi="David"/>
        </w:rPr>
        <w:t>CZ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אשר נגנב מבעליו יחד עם מחסנית תואמת במהלך התפרצות לבית מגורים בתחילת חודש אוגוסט </w:t>
      </w:r>
      <w:r>
        <w:rPr>
          <w:rFonts w:eastAsia="Calibri" w:cs="David" w:ascii="David" w:hAnsi="David"/>
        </w:rPr>
        <w:t>2017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27.1.18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בעודם ברכב בלתי מזוהה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נשאו הנאשמים את אקדח ה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CZ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הגנוב יחד עם המחסנית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ואף תיעדו באמצעות הטלפון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את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אוחז את האקדח הגנוב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מהאישום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 xml:space="preserve">המיוחס לנאשם </w:t>
      </w:r>
      <w:r>
        <w:rPr>
          <w:rFonts w:eastAsia="Calibri" w:cs="David" w:ascii="David" w:hAnsi="David"/>
          <w:u w:val="single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עולה כי בנסיבות שאינן ידועות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עובר או ביום </w:t>
      </w:r>
      <w:r>
        <w:rPr>
          <w:rFonts w:eastAsia="Calibri" w:cs="David" w:ascii="David" w:hAnsi="David"/>
        </w:rPr>
        <w:t>9.1.18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הגיע לרשותו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אקדח סמית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אשר נגנב מבעליו במהלך התפרצות לביתו בחודש אפריל  </w:t>
      </w:r>
      <w:r>
        <w:rPr>
          <w:rFonts w:eastAsia="Calibri" w:cs="David" w:ascii="David" w:hAnsi="David"/>
        </w:rPr>
        <w:t>2001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אקדח הסמית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הגנוב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9.1.18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באקדח הסמית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הגנוב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באקדח נוסף מסוג בלתי ידוע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האקדח הנוסף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 xml:space="preserve">בשלוש מחסניות – שתיים מהן טעונות בכדורי תחמושת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המחסניות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 xml:space="preserve">ובקופסת תחמושת המכילה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קופסת התחמושת</w:t>
      </w:r>
      <w:r>
        <w:rPr>
          <w:rFonts w:eastAsia="Calibri" w:cs="David" w:ascii="David" w:hAnsi="David"/>
          <w:rtl w:val="true"/>
        </w:rPr>
        <w:t xml:space="preserve">").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מי מטעמו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תיעד באמצעות מכשיר הטלפון שלו את אקדח הסמית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הגנוב לצד האקדח הנוסף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המחסניות וקופסת התחמושת בעוד הם מונחים על רצפה במקום שאינו ידוע במדויק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עובר או ביום </w:t>
      </w:r>
      <w:r>
        <w:rPr>
          <w:rFonts w:eastAsia="Calibri" w:cs="David" w:ascii="David" w:hAnsi="David"/>
        </w:rPr>
        <w:t>9.8.18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הגיע לרשותו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רובה סער מסוג 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ניקוב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שתי מחסניות אגודות ביחד בסרט דביק ותחמושת תואמת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רובה הקלצ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ניקוב והתחמושת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9.8.18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ברובה הקלצ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ניקוב בעודו טעון בתחמושת התואמת ואף תיעד זאת באמצעות מכשיר הטלפון שלו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במועד שאינו ידוע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אך עובר ליום </w:t>
      </w:r>
      <w:r>
        <w:rPr>
          <w:rFonts w:eastAsia="Calibri" w:cs="David" w:ascii="David" w:hAnsi="David"/>
        </w:rPr>
        <w:t>1.11.18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נשא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בידו הימנית את רובה הקלצ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ניקוב כשהוא טעון במחסניות האגודות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וגם נשיאה זו תועדה 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ידי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באמצעות מכשיר הטלפון הנייד שלו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16.9.18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גרם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לקטין אשר זהותו וגילו אינם ידועים במדויק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להחזיק באקדח הסמית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הגנוב בידו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ובמעמד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תיעד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הקטין מחזיק את אקדח הסמית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הגנוב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באמצעות מכשיר הטלפון שלו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יומיים לאחר מכן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18.9.18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הנאשם ישב במושב נהג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נשא את אקדח הסמית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הגנוב בידו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ומעמד זה תועד במכשיר הטלפון הנייד שלו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start="360"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ראיות מטעם התביעה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הוגש גיליון רישום פלילי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בעניינו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ממנו עולה כי לחובתו הרשעה מבית משפט השלום בכפר סבא משנת </w:t>
      </w:r>
      <w:r>
        <w:rPr>
          <w:rFonts w:eastAsia="Calibri" w:cs="David" w:ascii="David" w:hAnsi="David"/>
        </w:rPr>
        <w:t>2016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בגין ביצוע עבירה של רכישת</w:t>
      </w:r>
      <w:r>
        <w:rPr>
          <w:rFonts w:eastAsia="Calibri" w:cs="David" w:ascii="David" w:hAnsi="David"/>
          <w:rtl w:val="true"/>
        </w:rPr>
        <w:t>/</w:t>
      </w:r>
      <w:r>
        <w:rPr>
          <w:rFonts w:ascii="David" w:hAnsi="David" w:eastAsia="Calibri"/>
          <w:rtl w:val="true"/>
        </w:rPr>
        <w:t>החזקת נשק שלא כדין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מגזר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הדין שניתן ביום </w:t>
      </w:r>
      <w:r>
        <w:rPr>
          <w:rFonts w:eastAsia="Calibri" w:cs="David" w:ascii="David" w:hAnsi="David"/>
        </w:rPr>
        <w:t>15.6.16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-  </w:t>
      </w:r>
      <w:r>
        <w:rPr>
          <w:rFonts w:ascii="David" w:hAnsi="David" w:eastAsia="Calibri"/>
          <w:rtl w:val="true"/>
        </w:rPr>
        <w:t>ב</w:t>
      </w:r>
      <w:hyperlink r:id="rId1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50480-01-16</w:t>
        </w:r>
      </w:hyperlink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שלום כפר סבא</w:t>
      </w:r>
      <w:r>
        <w:rPr>
          <w:rFonts w:eastAsia="Calibri" w:cs="David" w:ascii="David" w:hAnsi="David"/>
          <w:rtl w:val="true"/>
        </w:rPr>
        <w:t xml:space="preserve">)) </w:t>
      </w:r>
      <w:r>
        <w:rPr>
          <w:rFonts w:ascii="David" w:hAnsi="David" w:eastAsia="Calibri"/>
          <w:rtl w:val="true"/>
        </w:rPr>
        <w:t>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על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הוטל עונש של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לצד מאסר על תנאי בן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– אותו עותרת התביעה להפעיל כיום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בעניינו של </w:t>
      </w: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הוגש תסקיר ממנו 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הוא כבן </w:t>
      </w: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רווק תושב טירה ומתגורר בבית הוריו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סיים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לימוד ומגיל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השתלב בעבודה בתחום העפר עם 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עובד גם כיום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בשנת </w:t>
      </w:r>
      <w:r>
        <w:rPr>
          <w:rFonts w:eastAsia="Calibri" w:cs="David" w:ascii="David" w:hAnsi="David"/>
        </w:rPr>
        <w:t>2020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במהלך נסיעה לעבודה נפצע באירוע ירי ברגלו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משתמש באישור בקנאביס רפואי על רקע כאבים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ושלל שימוש בסמים מסוג אחר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הרקע לביצוע העבירות בתיק דנן הוא איומים על חייו מצד עבריינים על מנת לקבל דמי חסות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איומים שממשיכים גם בהווה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כן החזיק את הנשק לצורך הגנה עצמית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להערכת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התמקד במתן הסברים קונקרטיים ולקוניים למעורבותו בעבירות והתקשה להרחיב על אודות קשיים רגשיים שעמדו ברקע לביצוע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שיתף בתחושות חרדה והשפלה בתקופת המעצר של שבועיים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ובהמשך שהה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מעצר בית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למשך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אותם חווה כתקופה קשה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שירות המבחן התרשם מאדם המגלה יציבות תעסוקתית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לוקח אחריות על מעשיו ומתחרט עליהם והעריך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העבירות בוצעו על רקע קיום קשרים שוליים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תחושות חרדה וחוסר פניות רגשית לבחינת אפשרויות יעילות יותר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שקילת גורמי הסיכוי והסיכון ההערכה היא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שקיימת רמת סיכון בינונית להישנות התנהגות אלימה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לאור התמקדותו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במתן הסברים קונקרטיים למעורבותו בעבירה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תיאורו על איומים על חייו גם כיום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וההתרשמות מחוסר פניות רגשית להליך הטיפולי </w:t>
      </w:r>
      <w:r>
        <w:rPr>
          <w:rFonts w:eastAsia="Calibri" w:cs="David" w:ascii="David" w:hAnsi="David"/>
          <w:rtl w:val="true"/>
        </w:rPr>
        <w:t xml:space="preserve">-  </w:t>
      </w:r>
      <w:r>
        <w:rPr>
          <w:rFonts w:ascii="David" w:hAnsi="David" w:eastAsia="Calibri"/>
          <w:rtl w:val="true"/>
        </w:rPr>
        <w:t>שירות המבחן לא בא בהמלצה טיפולית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לאור גילו הצעיר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 שירות המבחן כי עונש מוחשי וקונקרטי של עבודות שירות הולם את מצבו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גם בעניינו של </w:t>
      </w: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הוגש תסקיר ממנו עולה כי המדובר בבחור בן </w:t>
      </w: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רווק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תושב טירה המתגורר בבית הוריו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אינו עובד מזה שנתיים בשל היותו נתון בתנאים מגבילים בגין חשד למעורבות בעבירת אלימות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סיים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לימוד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השתלב בלימודי נגרות ולאחר מכן עבד במשך חמש שנים בנגריה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ועוד כשנה בתחום ההובלות ומשלוחים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לחובתו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שפורט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תלויים כנגדו תיקים פתוחים – באחד מהם הוגש כתב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אישום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בהתייחסותו לעבירות בתיק דנן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התקשה להסביר את נסיבות ביצוען והסתפק באמירה לפיה מדובר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בשטות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בשל גילו הצעיר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הביע צער  על הסתבכותו בפלילים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ושלל כל קשר למעורבות בסכסוך במקום מגוריו הקשור במשפחתו המורחבת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בתיק זה היה עצור במשך חודשיים בתנאי הפרדה על רקע סכסוכים פעילים של משפחתו המורחבת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מכן היה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מעצר בית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מלא במשך שנתיים עם חלונות התאווררות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הסתבך בעבירה נוספת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היה עצור במשך שבוע ושוחרר לאחר מכן בתנאים מגבילים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ההתרשמות העולה מההיכרות עם הנאשם לאורך השנים היא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שמדובר בצעיר שהיה חשוף לקשרים שוליים עם זמינות לכלי נשק ודפוסים בעייתיים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חווה חוויית מעצר מרתיעה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מתקשה להתייחס באופן ישיר וביקורתי לחזרתיות בביצוע עבירות בתחום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שקילת גורמי הסיכוי והסיכון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מעריך שירות המבחן שקיימת רמת סיכון בינונית להישנות התנהגות אלימה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שולל נזקקות טיפולית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כשיצוין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שבמסגרת צו פיקוח מעצרים השתלב בקבוצה טיפולית המיועדת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עצורי בית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ושיתף פעולה כנדרש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ולא נותר פתח להמלצה טיפולית בעניינו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לאור גילו הצעיר וחלוף הזמן מאז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 השירות כי עונש מוחשי וקונקרטי בדמות עבודות שירות ברף גבוה הולם את מצבו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טען לעניין הערכים המוגנים שנפגעו והדגיש כי מידת הפגיעה בערכים המוגנים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גבוהה יותר בשים לב למיוחס 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הוסיף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שמדובר בכלי נשק מוכנים להפעלה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ובצמוד להם הוחזקו מחסניות תואמות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קיים סיכון שמי שנושא נשק אינו מיומן להשתמש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וככלל קיים חשש שכלי הנשק המוחזקים שלא כדין יתגלגלו לידיים הלא נכונות וישמשו לפעילות עבריינית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ואף לפעילות ביטחונית שעלולה לפגוע בחיי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במקרה דנן כלי הנשק הנראים בתמונות לא נתפסו על ידי המשטרה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אמנם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התיקון ב</w:t>
      </w:r>
      <w:hyperlink r:id="rId1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הקובע ענישת מינימום אינו חל בעניינם של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יש בו כדי להצביע על מגמת החומרה העולה בחקיקה ובפסיקה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טען למתחם נפרד לכל אישום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אשר לאישום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 למתחם עונש הולם שנע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לגבי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ומתחם שנע בין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חודשים לגבי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המיוחס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 למתחם שנע בין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72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בשים לב לריבוי העבירות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אשר לנסיבות שאינן קשורות לביצוע העבירות 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שקיים פער בין תוכן התסקירים לבין ההמלצה הסופית של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ממילא עונש של עבודות שירות אינו רלבנטי בשל ריבוי העבירות ואופיין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בעניינו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שהוא אדם צעיר יחסית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הודה במיוחס לו – עתירתו היא למקם את עונשו  בשליש התחתון של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 בתחתיתו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ועל כן יש להשית עליו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לצד מאסר על תנאי וקנס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הוא אדם צעיר יחסית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הודה במיוחס 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לחובתו הרשעה רלבנטית ומאסר על תנאי חב הפעלה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לא הרתיע אותו מלשוב ולבצע עבירות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בנסיבות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לגישתו יש להטיל עליו עונש שממוקם מעט מתחת לאמצע המתחם להפעיל את המאסר המותנה במצטבר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ועל כן עתר להשית עליו עונש ראוי של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להפעיל במצטבר את המאסר על 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והכל לצד מאסר על תנאי וקנס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הנאשמים הדגיש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האירועים דנן שונים בתכלית מתיקים אחרים של 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בהם נאשמים נתפסו כשהובילו נשק ברכב ונשאו אותו על גופם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טען כי עתירת המאשימה לעונש אינה עולה בקנה אחד עם מועד ביצוע העבירות ולא ניתן להתעלם מכך שהעבירות בוצעו לפני כ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בשנים </w:t>
      </w:r>
      <w:r>
        <w:rPr>
          <w:rFonts w:eastAsia="Calibri" w:cs="David" w:ascii="David" w:hAnsi="David"/>
        </w:rPr>
        <w:t>2017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שיש ליישם את מדיניות הענישה שהיתה קיימת אז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הנאשמים הודו ולקחו אחריות על מעשיהם חרף קושי ראייתי והסניגור הדגיש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הנאשמים הודו שהם הצטלמו עם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 השתמשו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וכל כוונתם היתה להצטלם עם הנשק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הסניגור עתר לקבוע מתחם אחד לגבי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בעיקר בשל העובדה שמדובר בצילומים הסמוכים בזמן זה לזה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הנאשמים הודו בהזדמנות הראשונה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ומהתסקירים עולה שהם שמרו על רצף תעסוקתי וניהלו אורח חיים נורמטיבי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שיתפו פעולה עם שירות המבחן ולדבריהם הסכימו להשתלב בכל טיפול שיוצע להם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שיתף פעולה עם שירות המבחן במסגרת צו פיקוח מעצרים והגיע לכל המפגשים – ועל כן האמירה שלא שיתף פעולה עם השירות איננה נכונה ונובעת מחוסר זמן של השירות לטפל בנאשמים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שהה במעצר זמן ממושך יותר מאשר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בהמשך עבר למעצר באיזוק אלקטרוני ובעקבות תסקירי מעצר חיוביים אף זכה להקלות עד לשהייה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מעצר בית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חלקי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המלצת שירות המבחן עולה בקנה אחד עם המעשים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תזמון ביצוע העבירות ואופיין של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שהן לא עבירות של נשיאת נשק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רגילה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על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עתר הסניגור לקביעת מתחם עונש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ובעניינו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להפעיל את המאסר על תנאי בחופף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כך שעל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יושת עונש מאסר בעבודות שירות ברף המקסימלי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וברף נמוך יותר על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בדברו לבית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המשפט מסר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אני מצטער ולא אחזור עוד פעם</w:t>
      </w:r>
      <w:r>
        <w:rPr>
          <w:rFonts w:eastAsia="Calibri" w:cs="David" w:ascii="David" w:hAnsi="David"/>
          <w:rtl w:val="true"/>
        </w:rPr>
        <w:t xml:space="preserve">".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Fonts w:ascii="David" w:hAnsi="David" w:eastAsia="Calibri"/>
          <w:rtl w:val="true"/>
        </w:rPr>
        <w:t>בדברו לבית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המשפט מסר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אני מצטער ולא אחזור על זה שוב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אין פעם שלישית</w:t>
      </w:r>
      <w:r>
        <w:rPr>
          <w:rFonts w:eastAsia="Calibri" w:cs="David" w:ascii="David" w:hAnsi="David"/>
          <w:rtl w:val="true"/>
        </w:rPr>
        <w:t xml:space="preserve">".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Calibri" w:hAnsi="Calibri" w:eastAsia="Calibri" w:cs="Calibri"/>
          <w:rtl w:val="true"/>
        </w:rPr>
        <w:t xml:space="preserve">בהתאם להוראות תיקון </w:t>
      </w:r>
      <w:r>
        <w:rPr>
          <w:rFonts w:eastAsia="Calibri" w:cs="Calibri" w:ascii="Calibri" w:hAnsi="Calibri"/>
        </w:rPr>
        <w:t>113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1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eastAsia="Calibri" w:cs="Calibri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40</w:t>
        </w:r>
        <w:r>
          <w:rPr>
            <w:rStyle w:val="Hyperlink"/>
            <w:rFonts w:ascii="Calibri" w:hAnsi="Calibri" w:eastAsia="Calibri" w:cs="Calibri"/>
            <w:rtl w:val="true"/>
          </w:rPr>
          <w:t>ג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לצורך קביעת מתחם העונש ההולם יש להתחשב בערך החברתי שנפגע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במידת הפגיעה בו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במדיניות הענישה הנוהגת ובנסיבות הקשורות בביצוע העבירה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Calibri" w:hAnsi="Calibri" w:eastAsia="Calibri" w:cs="Calibri"/>
          <w:rtl w:val="true"/>
        </w:rPr>
        <w:t>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פי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מבחן הקשר ההדוק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eastAsia="Calibri" w:cs="Calibri" w:ascii="Calibri" w:hAnsi="Calibri"/>
          <w:b/>
          <w:bCs/>
          <w:rtl w:val="true"/>
        </w:rPr>
        <w:t>(</w:t>
      </w:r>
      <w:r>
        <w:rPr>
          <w:rFonts w:ascii="Calibri" w:hAnsi="Calibri" w:eastAsia="Calibri" w:cs="Calibri"/>
          <w:rtl w:val="true"/>
        </w:rPr>
        <w:t>אשר אומץ בדעת הרוב ב</w:t>
      </w:r>
      <w:hyperlink r:id="rId1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4910/13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אבר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29.10.2014</w:t>
      </w:r>
      <w:r>
        <w:rPr>
          <w:rFonts w:eastAsia="Calibri" w:cs="Calibri" w:ascii="Calibri" w:hAnsi="Calibri"/>
          <w:rtl w:val="true"/>
        </w:rPr>
        <w:t xml:space="preserve">] </w:t>
      </w:r>
      <w:r>
        <w:rPr>
          <w:rFonts w:ascii="Calibri" w:hAnsi="Calibri" w:eastAsia="Calibri" w:cs="Calibri"/>
          <w:rtl w:val="true"/>
        </w:rPr>
        <w:t xml:space="preserve">ובפסיקה שניתנה בעקבותיו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למשל</w:t>
      </w:r>
      <w:r>
        <w:rPr>
          <w:rFonts w:eastAsia="Calibri" w:cs="Calibri" w:ascii="Calibri" w:hAnsi="Calibri"/>
          <w:rtl w:val="true"/>
        </w:rPr>
        <w:t xml:space="preserve">: </w:t>
      </w:r>
      <w:hyperlink r:id="rId1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2519/14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אבו קיעאן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29.12.14</w:t>
      </w:r>
      <w:r>
        <w:rPr>
          <w:rFonts w:eastAsia="Calibri" w:cs="Calibri" w:ascii="Calibri" w:hAnsi="Calibri"/>
          <w:rtl w:val="true"/>
        </w:rPr>
        <w:t xml:space="preserve">], </w:t>
      </w:r>
      <w:hyperlink r:id="rId1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1261/15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דלאל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3.9.2015</w:t>
      </w:r>
      <w:r>
        <w:rPr>
          <w:rFonts w:eastAsia="Calibri" w:cs="Calibri" w:ascii="Calibri" w:hAnsi="Calibri"/>
          <w:rtl w:val="true"/>
        </w:rPr>
        <w:t xml:space="preserve">]), </w:t>
      </w:r>
      <w:r>
        <w:rPr>
          <w:rFonts w:ascii="Calibri" w:hAnsi="Calibri" w:eastAsia="Calibri" w:cs="Calibri"/>
          <w:rtl w:val="true"/>
        </w:rPr>
        <w:t>החלטתי לקבוע מתחם עונש נפרד לכל אחד מהאישומים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האישום הראשון משותף לשני הנאשמים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האישום השני מיוחס לנאשם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בלבד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וכולל מספר מקרים אשר בוצעו במשך חודשים ובנסיבות שונות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מעבר לצורך יצוין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שגם אם הייתי מאמצת את גישת ההגנה לפיה יש לקבוע מתחם עונש הולם אחד לגבי 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הרי שממילא היה נקבע מתחם הכולל בתוכו מסכת של ביצוע 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כך שבאופן מעשי אין באימוץ גישה כזו או אחרת כדי לשנות מהתוצאה הסופית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בעניננו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קביעת מתחם לכל אישום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המהווה אירוע אחד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תשקף בצורה ברורה יותר את שיקולי הענישה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ובכל מקרה בסופו של יום ייגזר עונש כולל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Calibri" w:hAnsi="Calibri" w:eastAsia="Calibri" w:cs="Calibri"/>
          <w:rtl w:val="true"/>
        </w:rPr>
        <w:t>הנאשמים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במעשיהם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פגעו באופן מוחשי בשלום הציבור ובביטחונו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זמינותם של כלי נשק חמים בידי מי שאינם מורשים לכך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עלולה להביא לביצוע עבירות חמורות ואף לפגיעה בחיי אדם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עבירות הנשק הפכו לתופעה עבריינית מדאיגה ולמכת מדינה של ממש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ובלשון 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 העליון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overflowPunct w:val="false"/>
        <w:autoSpaceDE w:val="false"/>
        <w:ind w:start="1440" w:end="1418"/>
        <w:jc w:val="both"/>
        <w:rPr>
          <w:rFonts w:ascii="Calibri" w:hAnsi="Calibri" w:eastAsia="Calibri" w:cs="Calibri"/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ובטחונו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לקיפוח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'</w:t>
      </w:r>
      <w:r>
        <w:rPr>
          <w:b/>
          <w:b/>
          <w:bCs/>
          <w:rtl w:val="true"/>
        </w:rPr>
        <w:t>התגלגלותם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ועויינים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בגורלם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יובילו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ודוק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19.1.14</w:t>
      </w:r>
      <w:r>
        <w:rPr>
          <w:rtl w:val="true"/>
        </w:rPr>
        <w:t xml:space="preserve">] –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עוצמת הפגיעה בערכים המוגנים אינה מן הגבוהות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עסקינן בעבירות נשק אשר תועדו באמצעות צילומים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ואין אינדיקציות ברורות לתקופת ההחזקה בנשקים ומטרת ההחזקה בהם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במסגרת </w:t>
      </w:r>
      <w:r>
        <w:rPr>
          <w:rFonts w:ascii="David" w:hAnsi="David" w:eastAsia="Calibri"/>
          <w:u w:val="single"/>
          <w:rtl w:val="true"/>
        </w:rPr>
        <w:t>הנסיבות הקשורות לביצוע העבירות</w:t>
      </w:r>
      <w:r>
        <w:rPr>
          <w:rFonts w:ascii="David" w:hAnsi="David" w:eastAsia="Calibri"/>
          <w:rtl w:val="true"/>
        </w:rPr>
        <w:t xml:space="preserve"> ייאמר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rtl w:val="true"/>
        </w:rPr>
        <w:t>במסגרת ההסדר בין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הוגשו תמונות של הנאשמים מתועדים עם נשקים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פי </w:t>
      </w:r>
      <w:r>
        <w:rPr>
          <w:rFonts w:ascii="David" w:hAnsi="David" w:eastAsia="Calibri"/>
          <w:u w:val="single"/>
          <w:rtl w:val="true"/>
        </w:rPr>
        <w:t>האישום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תיעד את עצמו מספר פעמים בעודו נושא אקדח עם 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וכשבועיים לאחר מכן תיעד את עצמו יחד עם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בעודם נושאים אקדח גנוב בתוך 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נסיבות אלו מצביעות על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קיימת נגישות לנשק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לרבות לנשק גנוב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ותעוזת הנאשמים באה לידי ביטוי בכך שהם ראו לנכון לתעד את עצמם בשעת פעילות עבריינית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Fonts w:ascii="David" w:hAnsi="David" w:eastAsia="Calibri"/>
          <w:u w:val="single"/>
          <w:rtl w:val="true"/>
        </w:rPr>
        <w:t>האישום השני</w:t>
      </w:r>
      <w:r>
        <w:rPr>
          <w:rFonts w:ascii="David" w:hAnsi="David" w:eastAsia="Calibri"/>
          <w:rtl w:val="true"/>
        </w:rPr>
        <w:t xml:space="preserve"> מיוחס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בלבד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פי אישום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תיעד אקדח סמית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גנוב ואקדח נוסף יחד עם 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עם מחסניות טעונות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בטווח זמן רחוק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כעבור שבעה 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תיעד נשיאת רובה סער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ניקוב טעון בתחמושת תואמת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כשלושה חודשים לאחר מכן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תיעד שוב נשיאת אותו 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ניקוב כשהוא טעון במחסניות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במקרה חמור במיוחד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תיעד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פעוט מחזיק באקדח הסמית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הגנוב בידו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תמונה ט</w:t>
      </w:r>
      <w:r>
        <w:rPr>
          <w:rFonts w:eastAsia="Calibri" w:cs="David" w:ascii="David" w:hAnsi="David"/>
          <w:rtl w:val="true"/>
        </w:rPr>
        <w:t xml:space="preserve">'). </w:t>
      </w:r>
      <w:r>
        <w:rPr>
          <w:rFonts w:ascii="David" w:hAnsi="David" w:eastAsia="Calibri"/>
          <w:rtl w:val="true"/>
        </w:rPr>
        <w:t>יומיים לאחר מכן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תיעד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עצמו נושא ברכב נושא את אותו אקדח סמית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גנוב בידו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אישום זה מעיד על נגישותו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כשעסקינן באירועים בהם מעורבים שני אקדחים – אחד מהם גנוב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רובה סער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היה ברשותו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למצער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במספר הזדמנויות ובמרווח של מספר 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מעבר לתיעוד העצמי בטלפון הנייד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כאמור מעיד על תעוזה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ניכר עיוות החשיבה של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בחר לתעד פעוט מחזיק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כאילו המדובר בצעצוע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    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Calibri" w:hAnsi="Calibri" w:cs="Calibri"/>
        </w:rPr>
      </w:pPr>
      <w:r>
        <w:rPr>
          <w:rFonts w:ascii="David" w:hAnsi="David" w:eastAsia="Calibri"/>
          <w:rtl w:val="true"/>
        </w:rPr>
        <w:t>לעניין</w:t>
      </w:r>
      <w:r>
        <w:rPr>
          <w:rFonts w:ascii="Calibri" w:hAnsi="Calibri" w:eastAsia="Calibri" w:cs="Calibri"/>
          <w:rtl w:val="true"/>
        </w:rPr>
        <w:t xml:space="preserve"> מדיניות הענישה ייאמר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 העליון קורא במהלך שנים רבות להחמרה בענישה של כל המעורבים בפעילות פלילית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ולאחרונה גם המחוקק אמר את דברו </w:t>
      </w:r>
      <w:r>
        <w:rPr>
          <w:rtl w:val="true"/>
        </w:rPr>
        <w:t>בתיקון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</w:rPr>
        <w:t>140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2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שעניינו עונשי מינימום בעבירות 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אמנם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תיקון זה אינו חל במקרה דנן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חשוב לזכור את הרקע לחקיקתו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שיש בו כדי להשפיע על שיקולי הענישה השונים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overflowPunct w:val="false"/>
        <w:autoSpaceDE w:val="false"/>
        <w:ind w:start="720" w:end="1418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ind w:start="1440" w:end="1418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מגיפה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הבוחרים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140</w:t>
      </w:r>
      <w:r>
        <w:rPr>
          <w:b/>
          <w:bCs/>
          <w:rtl w:val="true"/>
        </w:rPr>
        <w:t xml:space="preserve"> – </w:t>
      </w: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2021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140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שהתקבל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7.12.2021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ומשכך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הוחלט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הודגש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ההתחמשות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באוכלוסייה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ייחודיות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והשלכותיה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tl w:val="true"/>
        </w:rPr>
        <w:t>'"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/>
        <w:t>20.12.21</w:t>
      </w:r>
      <w:r>
        <w:rPr>
          <w:rtl w:val="true"/>
        </w:rPr>
        <w:t xml:space="preserve">],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).  </w:t>
      </w:r>
    </w:p>
    <w:p>
      <w:pPr>
        <w:pStyle w:val="Normal"/>
        <w:overflowPunct w:val="false"/>
        <w:autoSpaceDE w:val="false"/>
        <w:ind w:start="1440" w:end="1418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overflowPunct w:val="false"/>
        <w:autoSpaceDE w:val="false"/>
        <w:ind w:start="1440" w:end="1418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חרף כל 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וכפי שנטען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 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עונשם של הנאשמים ייגזר בהתאם למדיניות הענישה שהיתה נהוגה בעת ביצוע העבירות – ומאז הוחמרה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האישום בעניינם של המערערים אמנם הוגש בפברואר </w:t>
      </w:r>
      <w:r>
        <w:rPr>
          <w:rFonts w:cs="Calibri" w:ascii="Calibri" w:hAnsi="Calibri"/>
        </w:rPr>
        <w:t>2021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אך עניינו בעבירות שבוצעו בשנת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והתגלו שלוש שנים לאחר מכן אגב חקירה בתיק אחר שבו בוצעה פריקה של הטלפונים הניידים של הנאשמים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ברוח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 בפסיקה שהגיש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ובפסקי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 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David" w:hAnsi="David" w:eastAsia="Calibri"/>
          <w:rtl w:val="true"/>
        </w:rPr>
        <w:t>ולצורך קביעת מתחם העונש ההולם אציין את המרכזיים שבהם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54852-03-21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נגד עבד אל 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28.11.22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אשר הוגש על ידי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רלבנטי שכן המדובר בעבירות נשק שבוצעו בנסיבות דומות של תיעוד בתמונות בוואטסאפ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 ניתן לאחרונה – והוא אינו חלוט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Fonts w:ascii="Calibri" w:hAnsi="Calibri" w:cs="Calibri"/>
          <w:rtl w:val="true"/>
        </w:rPr>
        <w:t>הנאשם הורשע על יסוד הודאתו בעובדות כתב אישום מתוקן בעבירה של נשיאה והובלת נשק ותחמושת בכך שנשא נשק מסוג שאינו 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והצטלם עמו מספר תמונות בעודו רעול פנים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אדם אחר העביר את התמונות לטלפון הנייד של הנאשם באמצעות יישומון וואטסאפ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המשפט קבע מתחם עונש הולם שנע 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כבן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המתמודד עם מחלת סכרת נעורים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הביע חרטה על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ושרות המבחן המליץ על ענישה של מאסר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הושת עונש מאסר של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וקנס בסך </w:t>
      </w:r>
      <w:r>
        <w:rPr>
          <w:rFonts w:cs="Calibri" w:ascii="Calibri" w:hAnsi="Calibri"/>
        </w:rPr>
        <w:t>4000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הוגש ערעור מטעם ההגנה שטרם נדון </w:t>
      </w:r>
      <w:r>
        <w:rPr>
          <w:rFonts w:cs="Calibri" w:ascii="Calibri" w:hAnsi="Calibri"/>
          <w:rtl w:val="true"/>
        </w:rPr>
        <w:t>(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383/23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להלן אפרט פסיקה של 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שרלבנטית לתקופת 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אם כי עניינה בעבירות נשק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רגילות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ולא בעבירות נשק אשר נחשפו באמצעות גילוי תיעוד בוואטסאפ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9702/16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 אלוליאיה נגד 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13.9.17</w:t>
      </w:r>
      <w:r>
        <w:rPr>
          <w:rFonts w:cs="Calibri" w:ascii="Calibri" w:hAnsi="Calibri"/>
          <w:rtl w:val="true"/>
        </w:rPr>
        <w:t xml:space="preserve">]: </w:t>
      </w:r>
      <w:r>
        <w:rPr>
          <w:rFonts w:ascii="Calibri" w:hAnsi="Calibri" w:cs="Calibri"/>
          <w:rtl w:val="true"/>
        </w:rPr>
        <w:t xml:space="preserve">המערער הורשע על יסוד הודאתו בעבירה של נשיאת והובלת נשק לפי </w:t>
      </w:r>
      <w:hyperlink r:id="rId27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 וסיפא 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המערער נהג ברכבו מראמללה לביתו שבקלנדיה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הבחין בתיק שהשליך אחר לעבר צד הדרך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 למקום ומצא את התיק ובתוכו תת מקלע 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קת מתכתית המתאימה לרובה סער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שתי מחסניות ריקות וקופסה של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נשא עמו את התיק ובו הנשק והתחמושת לחנות שברשותו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החביא את התיק בארון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והנשק והתחמושת נותרו בחזקתו של המערער במשך כחצי שנה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המשפט המחוזי קבע מתחם עונש הולם שנע בין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שלחובתו הרשעות קודמות של הסעת 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 ותקיפת שוטר ואיומים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וששירות המבחן לא בא בהמלצה שיקומית 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הושת עונש מאסר של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ערעור על חומרת העונש נדחה בדעת רוב ונקבע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שאין להתעלם מן העובדה שהמערער חזר למקום וחיפש את התיק שבו נמצא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 מכן לא פנה אל הרשויות אלא החביא את 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אם ניתן היה לקבוע מתחם עונש הולם חמור 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 שהושת על המערער בסופו של יום אינו מצדיק התערבות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eastAsia="Calibri" w:cs="Calibri"/>
        </w:rPr>
      </w:pPr>
      <w:hyperlink r:id="rId2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2564/19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אזברגה נגד 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18.7.19</w:t>
      </w:r>
      <w:r>
        <w:rPr>
          <w:rFonts w:eastAsia="Calibri" w:cs="Calibri" w:ascii="Calibri" w:hAnsi="Calibri"/>
          <w:rtl w:val="true"/>
        </w:rPr>
        <w:t xml:space="preserve">]: </w:t>
      </w:r>
      <w:r>
        <w:rPr>
          <w:rFonts w:ascii="Calibri" w:hAnsi="Calibri" w:eastAsia="Calibri" w:cs="Calibri"/>
          <w:rtl w:val="true"/>
        </w:rPr>
        <w:t>המערער הורשע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פי הודאתו בעבירה של נשיאת 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המערער ניהל משא ומתן עם אחרים לרכישת אקדח שהיה מצוי ברשותם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במטרה לסחור בו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לאחר תיאום הגיעו המערער ושותפו מלוד למחנה הפליטים שועפט בירושלים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שם הועבר לרשותם אקדח גנוב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יחד עם מחסנית תואמת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תמורת סכום של </w:t>
      </w:r>
      <w:r>
        <w:rPr>
          <w:rFonts w:eastAsia="Calibri" w:cs="Calibri" w:ascii="Calibri" w:hAnsi="Calibri"/>
        </w:rPr>
        <w:t>32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אלף 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האקדח הוסתר ברכב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והשניים נעצרו בעת שעשו את דרכם חזרה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המשפט המחוזי קבע מתחם עונש הולם שנע בין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על המערער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אדם נעדר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שלקח אחריות על מעשיו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ואחד מילדיו סובל ממוגבלות משמעותית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הושת עונש מאסר בן </w:t>
      </w:r>
      <w:r>
        <w:rPr>
          <w:rFonts w:eastAsia="Calibri" w:cs="Calibri" w:ascii="Calibri" w:hAnsi="Calibri"/>
        </w:rPr>
        <w:t>16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 – בהיעדר המלצה שיקומית של שירות המבחן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ערעור על חומרת העונש נדחה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hyperlink r:id="rId3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2892/13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עודתאללה נגד מדינת ישראל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29.9.13</w:t>
      </w:r>
      <w:r>
        <w:rPr>
          <w:rFonts w:eastAsia="Calibri" w:cs="Calibri" w:ascii="Calibri" w:hAnsi="Calibri"/>
          <w:rtl w:val="true"/>
        </w:rPr>
        <w:t xml:space="preserve">], </w:t>
      </w:r>
      <w:r>
        <w:rPr>
          <w:rFonts w:ascii="Calibri" w:hAnsi="Calibri" w:eastAsia="Calibri" w:cs="Calibri"/>
          <w:rtl w:val="true"/>
        </w:rPr>
        <w:t>עניינו במערער צעיר שניהל אורח חיים נורמטיבי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כפר במיוחס לו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בסופו של יום הורשע בכך שהגיע לידיו 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אותו הוביל ברכבו יחד עם מחסנית ריקה מכדורים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מוסתר תחת השטיחון שמתחת לכסא הנהג ברכב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משהבחין בחסימה משטרתית סטה מנתיבו לדרך ללא מוצא ורק אז עצר את הרכב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השוטרים מצאו את האקדח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על המערער נגזר עונש של </w:t>
      </w:r>
      <w:r>
        <w:rPr>
          <w:rFonts w:eastAsia="Calibri" w:cs="Calibri" w:ascii="Calibri" w:hAnsi="Calibri"/>
        </w:rPr>
        <w:t>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 העליון לא מצא שיש יסוד להתערב בגזר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הדין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cs="Calibri"/>
          <w:b/>
          <w:bCs/>
          <w:u w:val="single"/>
        </w:rPr>
      </w:pP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4135/16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נאסר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22.2.17</w:t>
      </w:r>
      <w:r>
        <w:rPr>
          <w:rFonts w:cs="Calibri" w:ascii="Calibri" w:hAnsi="Calibri"/>
          <w:rtl w:val="true"/>
        </w:rPr>
        <w:t xml:space="preserve">] - </w:t>
      </w:r>
      <w:r>
        <w:rPr>
          <w:rFonts w:ascii="Calibri" w:hAnsi="Calibri" w:cs="Calibri"/>
          <w:rtl w:val="true"/>
        </w:rPr>
        <w:t>בית המשפט המחוזי הרשיע את המערער על יסוד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 הסדר 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 של החזקה והובלת נשק ונהיגה בזמן פסילה 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 קיבל לידיו 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 מחסניות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החביא אותם בבית במשך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 והוביל אותם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ביחד עם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 שנעצר על ידי 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בטרם ביצע את שתכנן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קבע כי יש להחמיר בענישה נוכח ריבוי המקרים וחומרת המעשים וקבע כי מתחם העונש ההולם בעניינו של המערער נע בין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 גילו הצעיר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 ולקיחת האחריות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והעובדה שמדובר במאסרו 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הוטל עליו עונש כולל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בגין עבירות הנשק והנהיגה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של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לצד עונשים 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העליון חזר בו המערער מהערעור על חומרת העונש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13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eastAsia="Calibri" w:cs="Calibri"/>
        </w:rPr>
      </w:pP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6347/17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מגאהד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2.1.18</w:t>
      </w:r>
      <w:r>
        <w:rPr>
          <w:rFonts w:cs="Calibri" w:ascii="Calibri" w:hAnsi="Calibri"/>
          <w:rtl w:val="true"/>
        </w:rPr>
        <w:t xml:space="preserve">]: </w:t>
      </w:r>
      <w:r>
        <w:rPr>
          <w:rFonts w:ascii="Calibri" w:hAnsi="Calibri" w:cs="Calibri"/>
          <w:rtl w:val="true"/>
        </w:rPr>
        <w:t>בית המשפט העליון דחה את ערעור המערער על הרשעתו בעבירות של קשירת קֶשֶר לביצוע פשע והובלת נשק ואביזר לנשק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העביר רובה סער דמוי </w:t>
      </w:r>
      <w:r>
        <w:rPr>
          <w:rFonts w:cs="Calibri" w:ascii="Calibri" w:hAnsi="Calibri"/>
        </w:rPr>
        <w:t>M-4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1001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 נשק מהשטחים לארץ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בתמורת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בית משפט קמא קבע מתחם ענישה 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וגזר עליו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שלקח בחשבון את עברו הפלילי הדל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היותו נשוי ואב לשניים והודאתו המיידית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13"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hyperlink r:id="rId3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24364-10-16</w:t>
        </w:r>
      </w:hyperlink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>מחוזי מרכז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נגד חנינה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5.7.17</w:t>
      </w:r>
      <w:r>
        <w:rPr>
          <w:rFonts w:eastAsia="Calibri" w:cs="Calibri" w:ascii="Calibri" w:hAnsi="Calibri"/>
          <w:rtl w:val="true"/>
        </w:rPr>
        <w:t xml:space="preserve">]: </w:t>
      </w:r>
      <w:r>
        <w:rPr>
          <w:rFonts w:ascii="Calibri" w:hAnsi="Calibri" w:eastAsia="Calibri" w:cs="Calibri"/>
          <w:rtl w:val="true"/>
        </w:rPr>
        <w:t xml:space="preserve">הנאשם הורשע על פי הודאתו בביצוע עבירות בנשק לפי </w:t>
      </w:r>
      <w:hyperlink r:id="rId34">
        <w:r>
          <w:rPr>
            <w:rStyle w:val="Hyperlink"/>
            <w:rFonts w:ascii="Calibri" w:hAnsi="Calibri" w:eastAsia="Calibri" w:cs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144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3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בכך שיחד עם אחר הוביל נשק מסוג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קרל גוסטב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ובו מחסנית עם כדורים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כשהנשק היה עטוף בניילון נצמד ומונח בשקית ניילון שקופה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כבן </w:t>
      </w:r>
      <w:r>
        <w:rPr>
          <w:rFonts w:eastAsia="Calibri" w:cs="Calibri" w:ascii="Calibri" w:hAnsi="Calibri"/>
        </w:rPr>
        <w:t>23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נעדר הרשעות קודמות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והוגש בעניינו תסקיר שלילי ממנו עלה כי אינו לוקח אחריות על מעשיו וקיים סיכון בינוני להישנות התנהגות עבריינית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נקבע מתחם ענישה שנע בין </w:t>
      </w:r>
      <w:r>
        <w:rPr>
          <w:rFonts w:eastAsia="Calibri" w:cs="Calibri" w:ascii="Calibri" w:hAnsi="Calibri"/>
        </w:rPr>
        <w:t>16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על השותף נגזרו </w:t>
      </w:r>
      <w:r>
        <w:rPr>
          <w:rFonts w:eastAsia="Calibri" w:cs="Calibri" w:ascii="Calibri" w:hAnsi="Calibri"/>
        </w:rPr>
        <w:t>16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 בהסדר טיעון סגור על רקע קשיים ראייתיים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ובהתחשב במכלול הנסיבות לרבות עקרון אחידות הענישה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הושתו על הנאשם </w:t>
      </w:r>
      <w:r>
        <w:rPr>
          <w:rFonts w:eastAsia="Calibri" w:cs="Calibri" w:ascii="Calibri" w:hAnsi="Calibri"/>
        </w:rPr>
        <w:t>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0" w:leader="none"/>
        </w:tabs>
        <w:overflowPunct w:val="false"/>
        <w:autoSpaceDE w:val="false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מכלול הפסיקה שנסקרה לעיל משקף קשת מקרים רלבנטיים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לאחר ביצוע הבחנות מתבקשות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קובעת </w:t>
      </w:r>
      <w:r>
        <w:rPr>
          <w:rFonts w:ascii="David" w:hAnsi="David" w:eastAsia="Calibri"/>
          <w:u w:val="single"/>
          <w:rtl w:val="true"/>
        </w:rPr>
        <w:t>באישום הראשון</w:t>
      </w:r>
      <w:r>
        <w:rPr>
          <w:rFonts w:ascii="David" w:hAnsi="David" w:eastAsia="Calibri"/>
          <w:rtl w:val="true"/>
        </w:rPr>
        <w:t xml:space="preserve">  בעניינו של </w:t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מתחם ענישה שנע בין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ובעניינו של </w:t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מתחם עונש הולם שנע בין 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–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לצד מאסר על תנאי וקנס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 xml:space="preserve">באישום השני </w:t>
      </w:r>
      <w:r>
        <w:rPr>
          <w:rFonts w:ascii="David" w:hAnsi="David" w:eastAsia="Calibri"/>
          <w:rtl w:val="true"/>
        </w:rPr>
        <w:t>המיוחס ל</w:t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קובעת מתחם עונש הולם שנע בין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–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אשר</w:t>
      </w:r>
      <w:r>
        <w:rPr>
          <w:rFonts w:ascii="David" w:hAnsi="David"/>
          <w:rtl w:val="true"/>
        </w:rPr>
        <w:t xml:space="preserve"> ל</w:t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ייאמר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בעניינו של </w:t>
      </w:r>
      <w:r>
        <w:rPr>
          <w:rFonts w:ascii="Calibri" w:hAnsi="Calibri" w:cs="Calibri"/>
          <w:b/>
          <w:b/>
          <w:bCs/>
          <w:rtl w:val="true"/>
        </w:rPr>
        <w:t xml:space="preserve">נאשם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המדובר באדם 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המגלה יציבות תעסוקתית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לקח אחריות על מעשיו והביע צער וחרטה עליהם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שירות המבחן לא בא בהמלצה שיקומית בעניינו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השאר בשל התרשמות של חוסר פניות רגשית להליך הטיפולי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והוערך כי הוא מצוי ברמת סיכון בינונית להישנות התנהגות אלימה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אין לייחס משקל להמלצת שירות המבחן בדבר ענישה ראויה בדמות עבודות שרות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אינה עומדת בהלימה למדיניות הענישה שפורטה בהרחבה לעיל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חרף האמור בתסקיר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ובעיקר נוכח חלוף הזמן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הכרעתי היא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יש למקם את עונשו בתחתית המתחם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כמו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הודה במעשים המיוחסים לו ונטל אחריות על ביצועם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התקשה להסביר את הרקע לביצועם בפני שירות המבחן והוערך שהוא מצוי שרמת סיכון בינונית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התנהלותו היא יציבה פחות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הוא נתון בתנאים מגבילים בגין הסתבכות אחרת בפלילים ואינו עובד מזה תקופה ארוכה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יתרה מכך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לחובתו עבר פלילי רלבנטי משנת </w:t>
      </w:r>
      <w:r>
        <w:rPr>
          <w:rFonts w:eastAsia="Calibri" w:cs="David" w:ascii="David" w:hAnsi="David"/>
        </w:rPr>
        <w:t>2016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בגין ביצוע עבירה של 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והוטל עליו עונש מאסר של שנה לצד מאסר מותנה בן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שאין מחלוקת כי הוא חב הפעלה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ואשר לא הרתיע אותו מלשוב ולבצע 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עיון בגזר הדין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מעלה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היה יחד עם נאשם נוסף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והחזיק בנשק מאולתר מסוג תת מקלע ובתוכו מחסנית וכן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אירוע זה מעברו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המסכת המתוארת בכתב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האישום הנוכחי מצביע על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המדובר במי שמעורב עמוקות בעולם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מאסר קודם לא הרתיעו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לא עבר טיפול ממשי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אם כי שיתף פעולה עם שירות המבחן בזמן שהיה בפיקוח מעצרים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ועל כן יש לגזור עליו עונש כולל שנקודת המוצא שלו היא מיקומו לקראת אמצע המתחמים שנקבעו תוך חפיפה בין האישומים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הודאתו והחסכון בזמן שיפוטי על רקע התשתית הראייתית הקיימת בתיק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המאסר על תנאי יופעל בחופף ובמצטבר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Calibri" w:hAnsi="Calibri" w:eastAsia="Calibri" w:cs="Calibri"/>
          <w:rtl w:val="true"/>
        </w:rPr>
        <w:t>לאור כל האמור לעיל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אני גוזרת את דינם של הנאשמים כדלקמן</w:t>
      </w:r>
      <w:r>
        <w:rPr>
          <w:rFonts w:eastAsia="Calibri"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לגבי נאשם </w:t>
      </w:r>
      <w:r>
        <w:rPr>
          <w:rFonts w:eastAsia="Calibri" w:cs="Calibri" w:ascii="Calibri" w:hAnsi="Calibri"/>
          <w:b/>
          <w:bCs/>
          <w:u w:val="single"/>
        </w:rPr>
        <w:t>1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בניכוי ימי מעצרו </w:t>
      </w:r>
      <w:r>
        <w:rPr>
          <w:rFonts w:eastAsia="Calibri" w:cs="David" w:ascii="David" w:hAnsi="David"/>
        </w:rPr>
        <w:t>31.1.21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7.2.21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על תנאי שלא יעבור בתוך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שנים מיום שחרורו </w:t>
      </w:r>
      <w:r>
        <w:rPr>
          <w:rFonts w:ascii="David" w:hAnsi="David"/>
          <w:rtl w:val="true"/>
        </w:rPr>
        <w:t>עבירות בנשק מכל סוג</w:t>
      </w:r>
      <w:r>
        <w:rPr>
          <w:rFonts w:cs="David" w:ascii="David" w:hAnsi="David"/>
          <w:rtl w:val="true"/>
        </w:rPr>
        <w:t>;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קנס על סך </w:t>
      </w:r>
      <w:r>
        <w:rPr>
          <w:rFonts w:eastAsia="Calibri" w:cs="Calibri" w:ascii="Calibri" w:hAnsi="Calibri"/>
        </w:rPr>
        <w:t>7500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 xml:space="preserve">או </w:t>
      </w:r>
      <w:r>
        <w:rPr>
          <w:rFonts w:eastAsia="Calibri" w:cs="Calibri" w:ascii="Calibri" w:hAnsi="Calibri"/>
        </w:rPr>
        <w:t>75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ישולם עד ליום </w:t>
      </w:r>
      <w:r>
        <w:rPr>
          <w:rFonts w:cs="Calibri" w:ascii="Calibri" w:hAnsi="Calibri"/>
        </w:rPr>
        <w:t>1.9.23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לגבי נאשם </w:t>
      </w:r>
      <w:r>
        <w:rPr>
          <w:rFonts w:eastAsia="Calibri" w:cs="Calibri" w:ascii="Calibri" w:hAnsi="Calibri"/>
          <w:b/>
          <w:bCs/>
          <w:u w:val="single"/>
        </w:rPr>
        <w:t>2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בגין העבירות נושא גזר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הדין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אני משיתה על הנאשם </w:t>
      </w:r>
      <w:r>
        <w:rPr>
          <w:rFonts w:eastAsia="Calibri" w:cs="Calibri" w:ascii="Calibri" w:hAnsi="Calibri"/>
        </w:rPr>
        <w:t>48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 xml:space="preserve">אני מורה על הפעלת מאסר על תנאי בן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כפר סבא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50480-01-16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דין מיום </w:t>
      </w:r>
      <w:r>
        <w:rPr>
          <w:rFonts w:cs="David" w:ascii="David" w:hAnsi="David"/>
        </w:rPr>
        <w:t>15.6.16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לנשיאה בחופף ובמצטבר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שסך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 xml:space="preserve">הכל ישא הנאשם עונש מאסר בפועל בן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חודשים בניכוי ימי מעצרו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eastAsia="Calibri" w:cs="David" w:ascii="David" w:hAnsi="David"/>
          <w:b/>
          <w:bCs/>
        </w:rPr>
        <w:t>9.2.21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ועד </w:t>
      </w:r>
      <w:r>
        <w:rPr>
          <w:rFonts w:eastAsia="Calibri" w:cs="David" w:ascii="David" w:hAnsi="David"/>
          <w:b/>
          <w:bCs/>
        </w:rPr>
        <w:t>11.4.21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על תנאי שלא יעבור בתוך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שנים מיום שחרורו </w:t>
      </w:r>
      <w:r>
        <w:rPr>
          <w:rFonts w:ascii="David" w:hAnsi="David"/>
          <w:rtl w:val="true"/>
        </w:rPr>
        <w:t>עבירות בנשק מכל סוג</w:t>
      </w:r>
      <w:r>
        <w:rPr>
          <w:rFonts w:cs="David" w:ascii="David" w:hAnsi="David"/>
          <w:rtl w:val="true"/>
        </w:rPr>
        <w:t>;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קנס על סך </w:t>
      </w:r>
      <w:r>
        <w:rPr>
          <w:rFonts w:cs="Calibri" w:ascii="Calibri" w:hAnsi="Calibri"/>
        </w:rPr>
        <w:t>10000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ישולם עד ליום </w:t>
      </w:r>
      <w:r>
        <w:rPr>
          <w:rFonts w:cs="Calibri" w:ascii="Calibri" w:hAnsi="Calibri"/>
        </w:rPr>
        <w:t>1.10.23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</w:t>
      </w:r>
      <w:r>
        <w:rPr>
          <w:b/>
          <w:b/>
          <w:bCs/>
          <w:rtl w:val="true"/>
        </w:rPr>
        <w:t>מי</w:t>
      </w:r>
      <w:r>
        <w:rPr>
          <w:b/>
          <w:b/>
          <w:bCs/>
          <w:rtl w:val="true"/>
        </w:rPr>
        <w:t>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יתייצב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>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5.7.23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10:00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כשברשות</w:t>
      </w:r>
      <w:r>
        <w:rPr>
          <w:b/>
          <w:b/>
          <w:bCs/>
          <w:rtl w:val="true"/>
        </w:rPr>
        <w:t>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דרכון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</w:t>
      </w:r>
      <w:r>
        <w:rPr>
          <w:b/>
          <w:b/>
          <w:bCs/>
          <w:rtl w:val="true"/>
        </w:rPr>
        <w:t>מי</w:t>
      </w:r>
      <w:r>
        <w:rPr>
          <w:b/>
          <w:b/>
          <w:bCs/>
          <w:rtl w:val="true"/>
        </w:rPr>
        <w:t>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מוקדם</w:t>
      </w:r>
      <w:r>
        <w:rPr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מרים חייאיב רכזת מיון מוקדם – </w:t>
      </w:r>
      <w:r>
        <w:rPr>
          <w:rFonts w:cs="David" w:ascii="David" w:hAnsi="David"/>
          <w:b/>
          <w:bCs/>
        </w:rPr>
        <w:t>074-7831077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או </w:t>
      </w:r>
      <w:r>
        <w:rPr>
          <w:rFonts w:ascii="David" w:hAnsi="David"/>
          <w:b/>
          <w:b/>
          <w:bCs/>
          <w:rtl w:val="true"/>
        </w:rPr>
        <w:t xml:space="preserve">מירב אבוחצירה רשמת מאסרים נדחים – </w:t>
      </w:r>
      <w:r>
        <w:rPr>
          <w:rFonts w:cs="David" w:ascii="David" w:hAnsi="David"/>
          <w:b/>
          <w:bCs/>
        </w:rPr>
        <w:t>074-7831078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ערבויות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שהופקדו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להבטחת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התייצבות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</w:t>
      </w:r>
      <w:r>
        <w:rPr>
          <w:b/>
          <w:b/>
          <w:bCs/>
          <w:rtl w:val="true"/>
        </w:rPr>
        <w:t>מי</w:t>
      </w:r>
      <w:r>
        <w:rPr>
          <w:b/>
          <w:b/>
          <w:bCs/>
          <w:rtl w:val="true"/>
        </w:rPr>
        <w:t>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b/>
          <w:b/>
          <w:bCs/>
          <w:rtl w:val="true"/>
        </w:rPr>
        <w:t>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יוותרו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המגבילים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הקיימים</w:t>
      </w:r>
      <w:r>
        <w:rPr>
          <w:b/>
          <w:bCs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ניתן צו להשמדת המוצגים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-7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>הודעה זכות ערעור 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 xml:space="preserve">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FFFF"/>
          <w:sz w:val="2"/>
          <w:szCs w:val="2"/>
        </w:rPr>
      </w:pPr>
      <w:r>
        <w:rPr>
          <w:rFonts w:eastAsia="Calibri"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color w:val="FFFFFF"/>
          <w:sz w:val="26"/>
          <w:szCs w:val="26"/>
        </w:rPr>
      </w:pPr>
      <w:r>
        <w:rPr>
          <w:rFonts w:eastAsia="Calibri"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הנאשמים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12411-02-21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עבודי מטר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8.a.5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338.a.5" TargetMode="External"/><Relationship Id="rId13" Type="http://schemas.openxmlformats.org/officeDocument/2006/relationships/hyperlink" Target="http://www.nevo.co.il/case/2090909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c.a" TargetMode="External"/><Relationship Id="rId17" Type="http://schemas.openxmlformats.org/officeDocument/2006/relationships/hyperlink" Target="http://www.nevo.co.il/case/13093721" TargetMode="External"/><Relationship Id="rId18" Type="http://schemas.openxmlformats.org/officeDocument/2006/relationships/hyperlink" Target="http://www.nevo.co.il/case/13101134" TargetMode="External"/><Relationship Id="rId19" Type="http://schemas.openxmlformats.org/officeDocument/2006/relationships/hyperlink" Target="http://www.nevo.co.il/case/20033641" TargetMode="External"/><Relationship Id="rId20" Type="http://schemas.openxmlformats.org/officeDocument/2006/relationships/hyperlink" Target="http://www.nevo.co.il/case/7791493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7933514" TargetMode="External"/><Relationship Id="rId24" Type="http://schemas.openxmlformats.org/officeDocument/2006/relationships/hyperlink" Target="http://www.nevo.co.il/case/27500714" TargetMode="External"/><Relationship Id="rId25" Type="http://schemas.openxmlformats.org/officeDocument/2006/relationships/hyperlink" Target="http://www.nevo.co.il/case/29303334" TargetMode="External"/><Relationship Id="rId26" Type="http://schemas.openxmlformats.org/officeDocument/2006/relationships/hyperlink" Target="http://www.nevo.co.il/case/21771409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5612982" TargetMode="External"/><Relationship Id="rId30" Type="http://schemas.openxmlformats.org/officeDocument/2006/relationships/hyperlink" Target="http://www.nevo.co.il/case/6949290" TargetMode="External"/><Relationship Id="rId31" Type="http://schemas.openxmlformats.org/officeDocument/2006/relationships/hyperlink" Target="http://www.nevo.co.il/case/21474514" TargetMode="External"/><Relationship Id="rId32" Type="http://schemas.openxmlformats.org/officeDocument/2006/relationships/hyperlink" Target="http://www.nevo.co.il/case/22908754" TargetMode="External"/><Relationship Id="rId33" Type="http://schemas.openxmlformats.org/officeDocument/2006/relationships/hyperlink" Target="http://www.nevo.co.il/case/21566004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0909093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2024-05-05T08:16:00Z</dcterms:created>
  <dc:creator> </dc:creator>
  <dc:description/>
  <cp:keywords/>
  <dc:language>en-IL</dc:language>
  <cp:lastModifiedBy>h1</cp:lastModifiedBy>
  <dcterms:modified xsi:type="dcterms:W3CDTF">2024-05-05T08:16:00Z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עבודי מטר;אסלאם חופאש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20909093:2;13093721;13101134;20033641;7791493;27933514;27500714;29303334;21771409;25612982;6949290;21474514;22908754;21566004</vt:lpwstr>
  </property>
  <property fmtid="{D5CDD505-2E9C-101B-9397-08002B2CF9AE}" pid="9" name="CITY">
    <vt:lpwstr>מרכז</vt:lpwstr>
  </property>
  <property fmtid="{D5CDD505-2E9C-101B-9397-08002B2CF9AE}" pid="10" name="DATE">
    <vt:lpwstr>20230511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70301/144.b:5;144.a;338.a.5;040c.a</vt:lpwstr>
  </property>
  <property fmtid="{D5CDD505-2E9C-101B-9397-08002B2CF9AE}" pid="15" name="LAWYER">
    <vt:lpwstr>אלירן אשכנזי;איהאב ג'לג'ולי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12411</vt:lpwstr>
  </property>
  <property fmtid="{D5CDD505-2E9C-101B-9397-08002B2CF9AE}" pid="22" name="NEWPARTB">
    <vt:lpwstr>02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390020230511</vt:lpwstr>
  </property>
  <property fmtid="{D5CDD505-2E9C-101B-9397-08002B2CF9AE}" pid="34" name="TYPE_N_DATE">
    <vt:lpwstr>39020230511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