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12466-10-21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נופל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מרב גרינברג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נופל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rFonts w:eastAsia="Times New Roman"/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טל שילון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שאדי נאטור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bookmarkStart w:id="11" w:name="ABSTRACT_START"/>
      <w:bookmarkEnd w:id="11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hyperlink r:id="rId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144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וסיפא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hyperlink r:id="rId5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התשל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1977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12" w:name="ABSTRACT_END"/>
      <w:bookmarkStart w:id="13" w:name="ABSTRACT_END"/>
      <w:bookmarkEnd w:id="13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המתוקן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26.9.21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בחמישה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16:30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חשמליים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משהבחינו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לקריאתם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מכנסיו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ונתפס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עיקרי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12.4.22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סטודנטית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לרפואה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בילדותו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מנידוי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חשיפתו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לקשריו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שחווית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שאוחז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בעמדות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הבעייתיות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ולהשתלב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מתרשם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בגבריות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וחיזוק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ולהעמידו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תמצית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שילוני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ומורא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וניסיונו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כשפגיעתו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30-60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ממעצרו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נאטור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לאימוץ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שמתבססת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מסיכויי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מוטעה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מעתירותיה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החופף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בעתירותיהם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שסיפר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בפלילים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הבטיח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התנצל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הבניית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השיפוטי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להוראות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תיקון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העיקרון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המנחה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שפירושו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בדרכו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המוגן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ובנסיבותיה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הקונקרטיות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לחרוג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לחומרא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התחשבות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העושה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ובנפש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קרלו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ומחסנית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נחשף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הגדול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ליעדו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שהבחינו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וקראו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והתפשטות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טומן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המחזיק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שיתפתה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ברגעי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ופחד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אלכרים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19.1.2014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7502/12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25.6.2013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לסוגיהן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מגלמות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ובטחונו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יתגלגלו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בעתיד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הנורמטיבי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ההלכה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גזירת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לבכר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האינטרס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שבהרתעת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הנידון</w:t>
      </w:r>
      <w:r>
        <w:rPr>
          <w:rFonts w:cs="David"/>
          <w:sz w:val="24"/>
          <w:szCs w:val="24"/>
          <w:rtl w:val="true"/>
        </w:rPr>
        <w:t>" (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587/22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עדאב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נאעסה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22.5.2022</w:t>
      </w:r>
      <w:r>
        <w:rPr>
          <w:rFonts w:cs="David"/>
          <w:sz w:val="24"/>
          <w:szCs w:val="24"/>
          <w:rtl w:val="true"/>
        </w:rPr>
        <w:t>)) (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קדורה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5-6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14.4.2022</w:t>
      </w:r>
      <w:r>
        <w:rPr>
          <w:rFonts w:cs="David"/>
          <w:sz w:val="24"/>
          <w:szCs w:val="24"/>
          <w:rtl w:val="true"/>
        </w:rPr>
        <w:t xml:space="preserve">);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5813/21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בארין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31.5.2022</w:t>
      </w:r>
      <w:r>
        <w:rPr>
          <w:rFonts w:cs="David"/>
          <w:sz w:val="24"/>
          <w:szCs w:val="24"/>
          <w:rtl w:val="true"/>
        </w:rPr>
        <w:t xml:space="preserve">); 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6011/21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חאלד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דסוקי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25.11.2021</w:t>
      </w:r>
      <w:r>
        <w:rPr>
          <w:rFonts w:cs="David"/>
          <w:sz w:val="24"/>
          <w:szCs w:val="24"/>
          <w:rtl w:val="true"/>
        </w:rPr>
        <w:t xml:space="preserve">); </w:t>
      </w:r>
      <w:hyperlink r:id="rId12">
        <w:r>
          <w:rPr>
            <w:rStyle w:val="Hyperlink"/>
            <w:rFonts w:cs="David"/>
            <w:color w:val="0000FF"/>
            <w:spacing w:val="10"/>
            <w:sz w:val="20"/>
            <w:sz w:val="20"/>
            <w:szCs w:val="24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/>
            <w:color w:val="0000FF"/>
            <w:spacing w:val="10"/>
            <w:sz w:val="20"/>
            <w:szCs w:val="24"/>
            <w:u w:val="single"/>
            <w:shd w:fill="FFFFFF" w:val="clear"/>
            <w:rtl w:val="true"/>
          </w:rPr>
          <w:t>"</w:t>
        </w:r>
        <w:r>
          <w:rPr>
            <w:rStyle w:val="Hyperlink"/>
            <w:rFonts w:cs="David"/>
            <w:color w:val="0000FF"/>
            <w:spacing w:val="10"/>
            <w:sz w:val="20"/>
            <w:sz w:val="20"/>
            <w:szCs w:val="24"/>
            <w:u w:val="single"/>
            <w:shd w:fill="FFFFFF" w:val="clear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pacing w:val="10"/>
            <w:sz w:val="20"/>
            <w:sz w:val="20"/>
            <w:szCs w:val="24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pacing w:val="10"/>
            <w:sz w:val="20"/>
            <w:szCs w:val="24"/>
            <w:u w:val="single"/>
            <w:shd w:fill="FFFFFF" w:val="clear"/>
          </w:rPr>
          <w:t>8320/21</w:t>
        </w:r>
      </w:hyperlink>
      <w:r>
        <w:rPr>
          <w:rFonts w:cs="David"/>
          <w:spacing w:val="10"/>
          <w:sz w:val="20"/>
          <w:szCs w:val="24"/>
          <w:shd w:fill="FFFFFF" w:val="clear"/>
          <w:rtl w:val="true"/>
        </w:rPr>
        <w:t xml:space="preserve"> </w:t>
      </w:r>
      <w:r>
        <w:rPr>
          <w:rFonts w:cs="David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>מדינת</w:t>
      </w:r>
      <w:r>
        <w:rPr>
          <w:rFonts w:eastAsia="Calibri" w:cs="Calibri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 xml:space="preserve"> </w:t>
      </w:r>
      <w:r>
        <w:rPr>
          <w:rFonts w:cs="David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>ישראל</w:t>
      </w:r>
      <w:r>
        <w:rPr>
          <w:rFonts w:eastAsia="Calibri" w:cs="Calibri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 xml:space="preserve"> </w:t>
      </w:r>
      <w:r>
        <w:rPr>
          <w:rFonts w:cs="David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>נ</w:t>
      </w:r>
      <w:r>
        <w:rPr>
          <w:rFonts w:cs="David"/>
          <w:b/>
          <w:bCs/>
          <w:spacing w:val="10"/>
          <w:sz w:val="20"/>
          <w:szCs w:val="24"/>
          <w:shd w:fill="FFFFFF" w:val="clear"/>
          <w:rtl w:val="true"/>
        </w:rPr>
        <w:t xml:space="preserve">' </w:t>
      </w:r>
      <w:r>
        <w:rPr>
          <w:rFonts w:cs="David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>מחמד</w:t>
      </w:r>
      <w:r>
        <w:rPr>
          <w:rFonts w:eastAsia="Calibri" w:cs="Calibri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 xml:space="preserve"> </w:t>
      </w:r>
      <w:r>
        <w:rPr>
          <w:rFonts w:cs="David"/>
          <w:b/>
          <w:b/>
          <w:bCs/>
          <w:spacing w:val="10"/>
          <w:sz w:val="20"/>
          <w:sz w:val="20"/>
          <w:szCs w:val="24"/>
          <w:shd w:fill="FFFFFF" w:val="clear"/>
          <w:rtl w:val="true"/>
        </w:rPr>
        <w:t>בסילה</w:t>
      </w:r>
      <w:r>
        <w:rPr>
          <w:rFonts w:cs="David"/>
          <w:spacing w:val="10"/>
          <w:sz w:val="20"/>
          <w:szCs w:val="24"/>
          <w:shd w:fill="FFFFFF" w:val="clear"/>
          <w:rtl w:val="true"/>
        </w:rPr>
        <w:t xml:space="preserve">, </w:t>
      </w:r>
      <w:r>
        <w:rPr>
          <w:rFonts w:cs="David"/>
          <w:spacing w:val="10"/>
          <w:sz w:val="20"/>
          <w:sz w:val="20"/>
          <w:szCs w:val="24"/>
          <w:shd w:fill="FFFFFF" w:val="clear"/>
          <w:rtl w:val="true"/>
        </w:rPr>
        <w:t>פסקה</w:t>
      </w:r>
      <w:r>
        <w:rPr>
          <w:rFonts w:eastAsia="Calibri" w:cs="Calibri"/>
          <w:spacing w:val="10"/>
          <w:sz w:val="20"/>
          <w:sz w:val="20"/>
          <w:szCs w:val="24"/>
          <w:shd w:fill="FFFFFF" w:val="clear"/>
          <w:rtl w:val="true"/>
        </w:rPr>
        <w:t xml:space="preserve"> </w:t>
      </w:r>
      <w:r>
        <w:rPr>
          <w:rFonts w:cs="David"/>
          <w:spacing w:val="10"/>
          <w:sz w:val="20"/>
          <w:szCs w:val="24"/>
          <w:shd w:fill="FFFFFF" w:val="clear"/>
        </w:rPr>
        <w:t>10</w:t>
      </w:r>
      <w:r>
        <w:rPr>
          <w:rFonts w:cs="David"/>
          <w:spacing w:val="10"/>
          <w:sz w:val="20"/>
          <w:szCs w:val="24"/>
          <w:shd w:fill="FFFFFF" w:val="clear"/>
          <w:rtl w:val="true"/>
        </w:rPr>
        <w:t xml:space="preserve"> (</w:t>
      </w:r>
      <w:r>
        <w:rPr>
          <w:rFonts w:cs="David"/>
          <w:spacing w:val="10"/>
          <w:sz w:val="20"/>
          <w:szCs w:val="24"/>
          <w:shd w:fill="FFFFFF" w:val="clear"/>
        </w:rPr>
        <w:t>28.12.2021</w:t>
      </w:r>
      <w:r>
        <w:rPr>
          <w:rFonts w:cs="David"/>
          <w:spacing w:val="10"/>
          <w:sz w:val="20"/>
          <w:szCs w:val="24"/>
          <w:shd w:fill="FFFFFF" w:val="clear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; 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2283/22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נבארי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31.7.2022</w:t>
      </w:r>
      <w:r>
        <w:rPr>
          <w:rFonts w:cs="David"/>
          <w:sz w:val="24"/>
          <w:szCs w:val="24"/>
          <w:rtl w:val="true"/>
        </w:rPr>
        <w:t xml:space="preserve">); 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78/21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26.7.2022</w:t>
      </w:r>
      <w:r>
        <w:rPr>
          <w:rFonts w:cs="David"/>
          <w:sz w:val="24"/>
          <w:szCs w:val="24"/>
          <w:rtl w:val="true"/>
        </w:rPr>
        <w:t>)).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מגמה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בחקיקה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מינימום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להעביר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בהיבט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החקיקתי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סואנת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בתעוזה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לחזקתו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להשתמש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להציגו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להתרברב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ולחזק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תדמיתו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אדרבא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ומוביליו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ייסוגו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והרתעת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8012/04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16.11.2005</w:t>
      </w:r>
      <w:r>
        <w:rPr>
          <w:rFonts w:cs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1695/22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גנאים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29.3.2022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גנאים</w:t>
      </w:r>
      <w:r>
        <w:rPr>
          <w:rFonts w:cs="David"/>
          <w:sz w:val="24"/>
          <w:szCs w:val="24"/>
          <w:rtl w:val="true"/>
        </w:rPr>
        <w:t xml:space="preserve">"),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גרוסקופף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ועונשו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הוחמר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22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שהצטרף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קיצוני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ומאסרו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מעשרה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166/22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טאהא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1.6.2022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חיפוש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ותכולתה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פרוגנוזה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20-40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ההסעה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תמימה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מנקודה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לנקודה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נועדה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לסייע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ובזכות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תושייתו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השוטר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החיפוש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למראה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הסתיים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נפגעים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);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</w:rPr>
      </w:pP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במקרה חמור בנסיבותיו מזה שלפנינו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הורשע נאשם נעדר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בעבירות החזקת 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נשיאותו והובלתו – רובה מסוג קלצ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ניקוב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מחסנית תואמת ומלאה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אקדח חצי אוטומטי טעון במחסנית תואמת עם </w:t>
      </w:r>
      <w:r>
        <w:rPr>
          <w:rFonts w:cs="Times New Roman" w:ascii="Times New Roman" w:hAnsi="Times New Roman"/>
        </w:rPr>
        <w:t>27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כדורים וכדור נוסף בקנה ומחסנית נוספת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ביחד עם שותפו הקטין נסעו ברכב גנוב ומוסווה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כשהם לבושים בשכפ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צים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כובעי גרב ועטו כפפות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כשלצדם בקבוקי דלק ומכשיר קשר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המחוזי קבע מתחם ענישה הנע בין </w:t>
      </w:r>
      <w:r>
        <w:rPr>
          <w:rFonts w:cs="Times New Roman" w:ascii="Times New Roman" w:hAnsi="Times New Roman"/>
        </w:rPr>
        <w:t>54-19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וגזר על הנאשם עונש בתחתית המתחם לצד מאסר תנאי וקנס בסך </w:t>
      </w:r>
      <w:r>
        <w:rPr>
          <w:rFonts w:cs="Times New Roman" w:ascii="Times New Roman" w:hAnsi="Times New Roman"/>
        </w:rPr>
        <w:t>15,000</w:t>
      </w:r>
      <w:r>
        <w:rPr>
          <w:rFonts w:cs="Times New Roman" w:ascii="Times New Roman" w:hAnsi="Times New Roman"/>
          <w:rtl w:val="true"/>
        </w:rPr>
        <w:t xml:space="preserve"> ₪. </w:t>
      </w:r>
      <w:r>
        <w:rPr>
          <w:rFonts w:ascii="Times New Roman" w:hAnsi="Times New Roman" w:cs="Times New Roman"/>
          <w:rtl w:val="true"/>
        </w:rPr>
        <w:t>ערעור שהגישה המדינה התקבל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בית המשפט העליון נתן משקל של ממש לאפיונים החמורים של נשיאת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עונשו הוחמר והועמד על </w:t>
      </w:r>
      <w:r>
        <w:rPr>
          <w:rFonts w:cs="Times New Roman" w:ascii="Times New Roman" w:hAnsi="Times New Roman"/>
          <w:b/>
          <w:bCs/>
        </w:rPr>
        <w:t>30</w:t>
      </w:r>
      <w:r>
        <w:rPr>
          <w:rFonts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6021/21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 עבוד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 xml:space="preserve">) </w:t>
      </w:r>
      <w:r>
        <w:rPr>
          <w:rtl w:val="true"/>
        </w:rPr>
        <w:t>נדחה ערעורו של נאשם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שהורשע בנשיאת נשק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 xml:space="preserve">והפרעה לשוטר </w:t>
      </w:r>
      <w:r>
        <w:rPr>
          <w:b/>
          <w:b/>
          <w:bCs/>
          <w:rtl w:val="true"/>
        </w:rPr>
        <w:t xml:space="preserve">ונדון למאסר בן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</w:t>
      </w:r>
      <w:r>
        <w:rPr>
          <w:rtl w:val="true"/>
        </w:rPr>
        <w:t xml:space="preserve">נדון ערעורו של נאשם בן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>חולה טרשת נפוצה שנדון בגין נשיאת שני אקדחים על רקע סכסוך פעיל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למאסר בן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חרף מצבו הרפואי וסולחה שנערכה בין המשפחות</w:t>
      </w:r>
      <w:r>
        <w:rPr>
          <w:rtl w:val="true"/>
        </w:rPr>
        <w:t xml:space="preserve">, </w:t>
      </w:r>
      <w:r>
        <w:rPr>
          <w:rtl w:val="true"/>
        </w:rPr>
        <w:t>ערעורו נדחה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איהאב 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19.6.2022</w:t>
      </w:r>
      <w:r>
        <w:rPr>
          <w:rtl w:val="true"/>
        </w:rPr>
        <w:t xml:space="preserve">) </w:t>
      </w:r>
      <w:r>
        <w:rPr>
          <w:rtl w:val="true"/>
        </w:rPr>
        <w:t xml:space="preserve">נדחה ערעורו של נאשם שהורשע בעבירת נשיאה והובלה של תת מקלע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 xml:space="preserve">ומחסנית למאסר בן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רכש לטענתו את הנשק לשם הגנה עצמית ועבר הליך 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מייחסת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המבוצעות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חמאיל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6.9.2016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ענין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נחאש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הגדיר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M16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ארוך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אוטומטי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קטלני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גנאים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7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3156/11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זראיעה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21.12.2012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והסתייעות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מתחמים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מח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חי</w:t>
      </w:r>
      <w:r>
        <w:rPr>
          <w:rFonts w:cs="David"/>
          <w:sz w:val="24"/>
          <w:szCs w:val="24"/>
          <w:rtl w:val="true"/>
        </w:rPr>
        <w:t xml:space="preserve">')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רובינוב</w:t>
      </w:r>
      <w:r>
        <w:rPr>
          <w:rFonts w:cs="David"/>
          <w:sz w:val="24"/>
          <w:szCs w:val="24"/>
          <w:rtl w:val="true"/>
        </w:rPr>
        <w:t xml:space="preserve">; 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15627-03-19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כמאלת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עתירת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בבואי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קובעת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22-45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נלווית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במלואה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המלצתם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החופפת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מובהקים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כזכור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המלצות שירות המבחן אינן מחייבות את בית המשפט וביכולתו לסטות ממנה מטעמים מוצדקים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2048/18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 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14.11.2018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ובניגוד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לדוגמא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51473-05-20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חאג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המצטיירת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מעודדת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התרשמתי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תסייע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בתקווה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שיתרחק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והמלצות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מסוכנות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אמקם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גוזרת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26.9.21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זכות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4" w:name="Nitan"/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אלול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19/09/2022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4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מרב גרינברג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מרגלית</w:t>
      </w:r>
      <w:r>
        <w:rPr>
          <w:rtl w:val="true"/>
        </w:rPr>
        <w:t xml:space="preserve"> </w:t>
      </w:r>
      <w:r>
        <w:rPr>
          <w:rtl w:val="true"/>
        </w:rPr>
        <w:t>לולו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12466-10-21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נופל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2466-10-21"/>
    <w:docVar w:name="caseId" w:val="78682217"/>
    <w:docVar w:name="deriveClass" w:val="NGCS.Protocol.BL.Client.ProtocolBLClientCriminal"/>
    <w:docVar w:name="firstPageNumber" w:val="1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2870031"/>
    <w:docVar w:name="releaseSign" w:val="0"/>
    <w:docVar w:name="sittingDateTime" w:val="19/09/2022 10:00     "/>
    <w:docVar w:name="sittingId" w:val="93756378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7791493" TargetMode="External"/><Relationship Id="rId7" Type="http://schemas.openxmlformats.org/officeDocument/2006/relationships/hyperlink" Target="http://www.nevo.co.il/case/5601503" TargetMode="External"/><Relationship Id="rId8" Type="http://schemas.openxmlformats.org/officeDocument/2006/relationships/hyperlink" Target="http://www.nevo.co.il/case/28268880" TargetMode="External"/><Relationship Id="rId9" Type="http://schemas.openxmlformats.org/officeDocument/2006/relationships/hyperlink" Target="http://www.nevo.co.il/case/28513828" TargetMode="External"/><Relationship Id="rId10" Type="http://schemas.openxmlformats.org/officeDocument/2006/relationships/hyperlink" Target="http://www.nevo.co.il/case/27894608" TargetMode="External"/><Relationship Id="rId11" Type="http://schemas.openxmlformats.org/officeDocument/2006/relationships/hyperlink" Target="http://www.nevo.co.il/case/27911638" TargetMode="External"/><Relationship Id="rId12" Type="http://schemas.openxmlformats.org/officeDocument/2006/relationships/hyperlink" Target="http://www.nevo.co.il/case/28152132" TargetMode="External"/><Relationship Id="rId13" Type="http://schemas.openxmlformats.org/officeDocument/2006/relationships/hyperlink" Target="http://www.nevo.co.il/case/28452933" TargetMode="External"/><Relationship Id="rId14" Type="http://schemas.openxmlformats.org/officeDocument/2006/relationships/hyperlink" Target="http://www.nevo.co.il/case/27305799" TargetMode="External"/><Relationship Id="rId15" Type="http://schemas.openxmlformats.org/officeDocument/2006/relationships/hyperlink" Target="http://www.nevo.co.il/case/6118595" TargetMode="External"/><Relationship Id="rId16" Type="http://schemas.openxmlformats.org/officeDocument/2006/relationships/hyperlink" Target="http://www.nevo.co.il/case/28384637" TargetMode="External"/><Relationship Id="rId17" Type="http://schemas.openxmlformats.org/officeDocument/2006/relationships/hyperlink" Target="http://www.nevo.co.il/case/28229995" TargetMode="External"/><Relationship Id="rId18" Type="http://schemas.openxmlformats.org/officeDocument/2006/relationships/hyperlink" Target="http://www.nevo.co.il/case/28243273" TargetMode="External"/><Relationship Id="rId19" Type="http://schemas.openxmlformats.org/officeDocument/2006/relationships/hyperlink" Target="http://www.nevo.co.il/case/27911655" TargetMode="External"/><Relationship Id="rId20" Type="http://schemas.openxmlformats.org/officeDocument/2006/relationships/hyperlink" Target="http://www.nevo.co.il/case/27494821" TargetMode="External"/><Relationship Id="rId21" Type="http://schemas.openxmlformats.org/officeDocument/2006/relationships/hyperlink" Target="http://www.nevo.co.il/case/28380863" TargetMode="External"/><Relationship Id="rId22" Type="http://schemas.openxmlformats.org/officeDocument/2006/relationships/hyperlink" Target="http://www.nevo.co.il/case/21472788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case/25517429" TargetMode="External"/><Relationship Id="rId25" Type="http://schemas.openxmlformats.org/officeDocument/2006/relationships/hyperlink" Target="http://www.nevo.co.il/case/26696300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2023-09-28T10:40:00Z</dcterms:created>
  <dc:creator> </dc:creator>
  <dc:description/>
  <cp:keywords/>
  <dc:language>en-IL</dc:language>
  <cp:lastModifiedBy>h1</cp:lastModifiedBy>
  <cp:lastPrinted>2022-09-19T10:30:00Z</cp:lastPrinted>
  <dcterms:modified xsi:type="dcterms:W3CDTF">2023-09-28T10:40:00Z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נופל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7791493;5601503;28268880;28513828;27894608;27911638;28152132;28452933;27305799;6118595;28384637;28229995;28243273;27911655;27494821;28380863;21472788;5878682;25517429;26696300</vt:lpwstr>
  </property>
  <property fmtid="{D5CDD505-2E9C-101B-9397-08002B2CF9AE}" pid="9" name="CITY">
    <vt:lpwstr>מרכז</vt:lpwstr>
  </property>
  <property fmtid="{D5CDD505-2E9C-101B-9397-08002B2CF9AE}" pid="10" name="DATE">
    <vt:lpwstr>20220919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</vt:lpwstr>
  </property>
  <property fmtid="{D5CDD505-2E9C-101B-9397-08002B2CF9AE}" pid="15" name="LAWYER">
    <vt:lpwstr>טל שילון;שאדי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12466</vt:lpwstr>
  </property>
  <property fmtid="{D5CDD505-2E9C-101B-9397-08002B2CF9AE}" pid="22" name="NEWPARTB">
    <vt:lpwstr>10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390020220919</vt:lpwstr>
  </property>
  <property fmtid="{D5CDD505-2E9C-101B-9397-08002B2CF9AE}" pid="34" name="TYPE_N_DATE">
    <vt:lpwstr>39020220919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