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54"/>
        <w:gridCol w:w="3569"/>
      </w:tblGrid>
      <w:tr>
        <w:trPr>
          <w:trHeight w:val="418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בנתניה</w:t>
            </w:r>
          </w:p>
        </w:tc>
      </w:tr>
      <w:tr>
        <w:trPr>
          <w:trHeight w:val="337" w:hRule="atLeast"/>
        </w:trPr>
        <w:tc>
          <w:tcPr>
            <w:tcW w:w="49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12493-02-23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לימון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  <w:br/>
            </w:r>
          </w:p>
        </w:tc>
        <w:tc>
          <w:tcPr>
            <w:tcW w:w="356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  <w:softHyphen/>
        <w:softHyphen/>
      </w:r>
      <w:r>
        <w:rPr>
          <w:rFonts w:ascii="David" w:hAnsi="David"/>
          <w:bCs/>
          <w:sz w:val="28"/>
          <w:sz w:val="28"/>
          <w:szCs w:val="28"/>
          <w:rtl w:val="true"/>
        </w:rPr>
        <w:t>לפני</w:t>
      </w:r>
      <w:r>
        <w:rPr>
          <w:rFonts w:cs="David" w:ascii="David" w:hAnsi="David"/>
          <w:bCs/>
          <w:sz w:val="28"/>
          <w:szCs w:val="28"/>
          <w:rtl w:val="true"/>
        </w:rPr>
        <w:t>:</w:t>
        <w:tab/>
        <w:tab/>
        <w:tab/>
        <w:tab/>
      </w:r>
      <w:r>
        <w:rPr>
          <w:rFonts w:ascii="David" w:hAnsi="David"/>
          <w:bCs/>
          <w:sz w:val="28"/>
          <w:sz w:val="28"/>
          <w:szCs w:val="28"/>
          <w:rtl w:val="true"/>
        </w:rPr>
        <w:t>כבוד השופט גיא אבנון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ascii="David" w:hAnsi="David"/>
          <w:bCs/>
          <w:sz w:val="28"/>
          <w:sz w:val="28"/>
          <w:szCs w:val="28"/>
          <w:rtl w:val="true"/>
        </w:rPr>
        <w:t>ה</w:t>
      </w:r>
      <w:bookmarkStart w:id="1" w:name="FirstAppellant"/>
      <w:r>
        <w:rPr>
          <w:rFonts w:ascii="David" w:hAnsi="David"/>
          <w:bCs/>
          <w:sz w:val="28"/>
          <w:sz w:val="28"/>
          <w:szCs w:val="28"/>
          <w:rtl w:val="true"/>
        </w:rPr>
        <w:t>מאשימ</w:t>
      </w:r>
      <w:bookmarkEnd w:id="1"/>
      <w:r>
        <w:rPr>
          <w:rFonts w:ascii="David" w:hAnsi="David"/>
          <w:bCs/>
          <w:sz w:val="28"/>
          <w:sz w:val="28"/>
          <w:szCs w:val="28"/>
          <w:rtl w:val="true"/>
        </w:rPr>
        <w:t>ה</w:t>
      </w:r>
      <w:r>
        <w:rPr>
          <w:rFonts w:cs="David" w:ascii="David" w:hAnsi="David"/>
          <w:bCs/>
          <w:sz w:val="28"/>
          <w:szCs w:val="28"/>
          <w:rtl w:val="true"/>
        </w:rPr>
        <w:t>:</w:t>
        <w:tab/>
        <w:tab/>
        <w:tab/>
      </w:r>
      <w:r>
        <w:rPr>
          <w:rFonts w:ascii="David" w:hAnsi="David"/>
          <w:bCs/>
          <w:sz w:val="28"/>
          <w:sz w:val="28"/>
          <w:szCs w:val="28"/>
          <w:rtl w:val="true"/>
        </w:rPr>
        <w:t>מדינת ישראל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  <w:tab/>
        <w:tab/>
        <w:tab/>
        <w:tab/>
      </w:r>
      <w:r>
        <w:rPr>
          <w:rFonts w:ascii="David" w:hAnsi="David"/>
          <w:bCs/>
          <w:sz w:val="28"/>
          <w:sz w:val="28"/>
          <w:szCs w:val="28"/>
          <w:rtl w:val="true"/>
        </w:rPr>
        <w:t>באמצעות תביעות מרכז – שלוחת נתניה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  <w:tab/>
        <w:tab/>
        <w:tab/>
        <w:tab/>
        <w:tab/>
        <w:tab/>
      </w:r>
      <w:r>
        <w:rPr>
          <w:rFonts w:ascii="David" w:hAnsi="David"/>
          <w:bCs/>
          <w:sz w:val="28"/>
          <w:sz w:val="28"/>
          <w:szCs w:val="28"/>
          <w:rtl w:val="true"/>
        </w:rPr>
        <w:t>נ ג ד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ascii="David" w:hAnsi="David"/>
          <w:bCs/>
          <w:sz w:val="28"/>
          <w:sz w:val="28"/>
          <w:szCs w:val="28"/>
          <w:rtl w:val="true"/>
        </w:rPr>
        <w:t>הנאשם</w:t>
      </w:r>
      <w:r>
        <w:rPr>
          <w:rFonts w:cs="David" w:ascii="David" w:hAnsi="David"/>
          <w:bCs/>
          <w:sz w:val="28"/>
          <w:szCs w:val="28"/>
          <w:rtl w:val="true"/>
        </w:rPr>
        <w:t>:</w:t>
        <w:tab/>
        <w:tab/>
        <w:tab/>
      </w:r>
      <w:r>
        <w:rPr>
          <w:rFonts w:ascii="David" w:hAnsi="David"/>
          <w:bCs/>
          <w:sz w:val="28"/>
          <w:sz w:val="28"/>
          <w:szCs w:val="28"/>
          <w:rtl w:val="true"/>
        </w:rPr>
        <w:t xml:space="preserve">מאגד לימון 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cs="David" w:ascii="David" w:hAnsi="David"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sz w:val="28"/>
          <w:szCs w:val="28"/>
        </w:rPr>
      </w:pPr>
      <w:bookmarkStart w:id="2" w:name="FirstLawyer"/>
      <w:r>
        <w:rPr>
          <w:rFonts w:ascii="David" w:hAnsi="David"/>
          <w:b/>
          <w:b/>
          <w:sz w:val="28"/>
          <w:sz w:val="28"/>
          <w:szCs w:val="28"/>
          <w:rtl w:val="true"/>
        </w:rPr>
        <w:t>בשם</w:t>
      </w:r>
      <w:bookmarkEnd w:id="2"/>
      <w:r>
        <w:rPr>
          <w:rFonts w:ascii="David" w:hAnsi="David"/>
          <w:b/>
          <w:b/>
          <w:sz w:val="28"/>
          <w:sz w:val="28"/>
          <w:szCs w:val="28"/>
          <w:rtl w:val="true"/>
        </w:rPr>
        <w:t xml:space="preserve"> המאשימה</w:t>
      </w:r>
      <w:r>
        <w:rPr>
          <w:rFonts w:cs="David" w:ascii="David" w:hAnsi="David"/>
          <w:b/>
          <w:sz w:val="28"/>
          <w:szCs w:val="28"/>
          <w:rtl w:val="true"/>
        </w:rPr>
        <w:t>:</w:t>
        <w:tab/>
        <w:tab/>
      </w:r>
      <w:r>
        <w:rPr>
          <w:rFonts w:ascii="David" w:hAnsi="David"/>
          <w:b/>
          <w:b/>
          <w:sz w:val="28"/>
          <w:sz w:val="28"/>
          <w:szCs w:val="28"/>
          <w:rtl w:val="true"/>
        </w:rPr>
        <w:t>עו</w:t>
      </w:r>
      <w:r>
        <w:rPr>
          <w:rFonts w:cs="David" w:ascii="David" w:hAnsi="David"/>
          <w:b/>
          <w:sz w:val="28"/>
          <w:szCs w:val="28"/>
          <w:rtl w:val="true"/>
        </w:rPr>
        <w:t>"</w:t>
      </w:r>
      <w:r>
        <w:rPr>
          <w:rFonts w:ascii="David" w:hAnsi="David"/>
          <w:b/>
          <w:b/>
          <w:sz w:val="28"/>
          <w:sz w:val="28"/>
          <w:szCs w:val="28"/>
          <w:rtl w:val="true"/>
        </w:rPr>
        <w:t>ד שני מלול</w:t>
      </w:r>
    </w:p>
    <w:p>
      <w:pPr>
        <w:pStyle w:val="Normal"/>
        <w:ind w:end="0"/>
        <w:jc w:val="start"/>
        <w:rPr>
          <w:rFonts w:ascii="David" w:hAnsi="David" w:cs="David"/>
          <w:bCs/>
          <w:sz w:val="28"/>
          <w:szCs w:val="28"/>
        </w:rPr>
      </w:pPr>
      <w:r>
        <w:rPr>
          <w:rFonts w:ascii="David" w:hAnsi="David"/>
          <w:b/>
          <w:b/>
          <w:sz w:val="28"/>
          <w:sz w:val="28"/>
          <w:szCs w:val="28"/>
          <w:rtl w:val="true"/>
        </w:rPr>
        <w:t>בשם הנאשם</w:t>
      </w:r>
      <w:r>
        <w:rPr>
          <w:rFonts w:cs="David" w:ascii="David" w:hAnsi="David"/>
          <w:b/>
          <w:sz w:val="28"/>
          <w:szCs w:val="28"/>
          <w:rtl w:val="true"/>
        </w:rPr>
        <w:t>:</w:t>
        <w:tab/>
        <w:tab/>
        <w:tab/>
      </w:r>
      <w:r>
        <w:rPr>
          <w:rFonts w:ascii="David" w:hAnsi="David"/>
          <w:b/>
          <w:b/>
          <w:sz w:val="28"/>
          <w:sz w:val="28"/>
          <w:szCs w:val="28"/>
          <w:rtl w:val="true"/>
        </w:rPr>
        <w:t>עו</w:t>
      </w:r>
      <w:r>
        <w:rPr>
          <w:rFonts w:cs="David" w:ascii="David" w:hAnsi="David"/>
          <w:b/>
          <w:sz w:val="28"/>
          <w:szCs w:val="28"/>
          <w:rtl w:val="true"/>
        </w:rPr>
        <w:t>"</w:t>
      </w:r>
      <w:r>
        <w:rPr>
          <w:rFonts w:ascii="David" w:hAnsi="David"/>
          <w:b/>
          <w:b/>
          <w:sz w:val="28"/>
          <w:sz w:val="28"/>
          <w:szCs w:val="28"/>
          <w:rtl w:val="true"/>
        </w:rPr>
        <w:t>ד מואנס יונס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Cs/>
          <w:sz w:val="28"/>
          <w:szCs w:val="28"/>
        </w:rPr>
      </w:pPr>
      <w:r>
        <w:rPr>
          <w:rFonts w:cs="FrankRuehl" w:ascii="FrankRuehl" w:hAnsi="FrankRuehl"/>
          <w:bCs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bCs/>
          <w:sz w:val="28"/>
          <w:szCs w:val="28"/>
          <w:u w:val="single"/>
        </w:rPr>
      </w:pPr>
      <w:r>
        <w:rPr>
          <w:rFonts w:eastAsia="Calibri" w:cs="FrankRuehl" w:ascii="FrankRuehl" w:hAnsi="FrankRuehl"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bookmarkStart w:id="10" w:name="ABSTRACT_START"/>
      <w:bookmarkEnd w:id="10"/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הנאשם הורשע בהתאם להודאתו בכתב אישום מתוקן בעבירות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כניסה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לישראל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שלא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כחוק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לפי </w:t>
      </w:r>
      <w:hyperlink r:id="rId7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12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1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חוק הכניסה לישראל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תשי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1952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נשיאת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תחמושת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לפי </w:t>
      </w:r>
      <w:hyperlink r:id="rId9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סיפא ל</w:t>
      </w:r>
      <w:hyperlink r:id="rId10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תשל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1977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חוק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העונשין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שיבוש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מהלכי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משפט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לפי </w:t>
      </w:r>
      <w:hyperlink r:id="rId11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244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לחוק העונשין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– תושב האזור שאיננו מחזיק בהיתרי כניסה או שהייה בישראל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נמצא ביום </w:t>
      </w:r>
      <w:r>
        <w:rPr>
          <w:rFonts w:eastAsia="Calibri" w:cs="FrankRuehl" w:ascii="FrankRuehl" w:hAnsi="FrankRuehl"/>
          <w:sz w:val="28"/>
          <w:szCs w:val="28"/>
        </w:rPr>
        <w:t>3.2.23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בשעות הצוהריים כשהוא נוסע ברכב בכביש </w:t>
      </w:r>
      <w:r>
        <w:rPr>
          <w:rFonts w:eastAsia="Calibri" w:cs="FrankRuehl" w:ascii="FrankRuehl" w:hAnsi="FrankRuehl"/>
          <w:sz w:val="28"/>
          <w:szCs w:val="28"/>
        </w:rPr>
        <w:t>57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בסמוך לכפר יונה בכיוון מזרח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באותה עת החזיק הנאשם על גופו כדורי תחמושת מסוגים שונים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כדור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בקוטר </w:t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כדור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בקוטר </w:t>
      </w:r>
      <w:r>
        <w:rPr>
          <w:rFonts w:eastAsia="Calibri" w:cs="FrankRuehl" w:ascii="FrankRuehl" w:hAnsi="FrankRuehl"/>
          <w:sz w:val="28"/>
          <w:szCs w:val="28"/>
        </w:rPr>
        <w:t>5.56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כדור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בקוטר </w:t>
      </w:r>
      <w:r>
        <w:rPr>
          <w:rFonts w:eastAsia="Calibri" w:cs="FrankRuehl" w:ascii="FrankRuehl" w:hAnsi="FrankRuehl"/>
          <w:sz w:val="28"/>
          <w:szCs w:val="28"/>
        </w:rPr>
        <w:t>0.22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אינץ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שמונה כדורים מאולתרים בקוטר </w:t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 משולבים בעלי כיסוי כחול המשמשים לאימוני ירי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כן החזיק הנאשם בתיקו במחסנית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ריקה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המיועדת לכדורים בקוטר </w:t>
      </w:r>
      <w:r>
        <w:rPr>
          <w:rFonts w:eastAsia="Calibri" w:cs="FrankRuehl" w:ascii="FrankRuehl" w:hAnsi="FrankRuehl"/>
          <w:sz w:val="28"/>
          <w:szCs w:val="28"/>
        </w:rPr>
        <w:t>5.56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באותן הנסיבות ביקש הנאשם מהשוטר שערך עליו חיפוש להתעלם ממה שמצא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ולהתנהג כאילו לא ראה דבר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 המאשימה ביקשה לקבוע את מתחם העונש בין </w:t>
      </w:r>
      <w:r>
        <w:rPr>
          <w:rFonts w:eastAsia="Calibri" w:cs="FrankRuehl" w:ascii="FrankRuehl" w:hAnsi="FrankRuehl"/>
          <w:sz w:val="28"/>
          <w:szCs w:val="28"/>
        </w:rPr>
        <w:t>20-10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היא עמדה על מגוון הערכים המוגנים בהם פגע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כניסתו לשטח המדינה מבלי שנבדק ואושר ע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 כוחות הביטחון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ומסוכנות לציבור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לדבריה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כניסתו לא נועדה לצורכי פרנסה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וממילא גרסה זו לא נתמכה בגרסאותיהם של האחרים ששהו אתו ברכב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שוחררו מבלי שהוגש בעניינם כתב 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שהייתו של הנאשם בארץ בזמנים טרופים אלה בהם מתרחשים פיגועים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קל וחומר בהחזיקו תחמושת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מבססת חומרה רבה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ועל כך יש להוסיף את התנהגותו כשנעצר וניסה לשכנע את השוטר להתעלם ממעשיו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טענותיה תמכה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בפסקי דין מהם ביקשה ללמוד על מדיניות הענישה הנוהגת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באשר לעונש המתאים זקפה לזכותו של הנאשם את גילו הצעיר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יליד </w:t>
      </w:r>
      <w:r>
        <w:rPr>
          <w:rFonts w:eastAsia="Calibri" w:cs="FrankRuehl" w:ascii="FrankRuehl" w:hAnsi="FrankRuehl"/>
          <w:sz w:val="28"/>
          <w:szCs w:val="28"/>
        </w:rPr>
        <w:t>1998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היעדר הרשעות קודמות והודייתו במיוחס לו כבר בתחילת ההליך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מכאן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ביקשה לגזור את עונשו בקרבה לתחתית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לשנת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מאסר מרתיע על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תנאי וקנס כספי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הציג לבית המשפט את הנחיית פרקליט המדינה מס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9.16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–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מדיניות ענישה בעבירות נשק ומטעני חבלה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מעודכנת ליום </w:t>
      </w:r>
      <w:r>
        <w:rPr>
          <w:rFonts w:eastAsia="Calibri" w:cs="FrankRuehl" w:ascii="FrankRuehl" w:hAnsi="FrankRuehl"/>
          <w:sz w:val="28"/>
          <w:szCs w:val="28"/>
        </w:rPr>
        <w:t>13.2.22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ענ</w:t>
      </w:r>
      <w:r>
        <w:rPr>
          <w:rFonts w:eastAsia="Calibri" w:cs="FrankRuehl" w:ascii="FrankRuehl" w:hAnsi="FrankRuehl"/>
          <w:sz w:val="28"/>
          <w:szCs w:val="28"/>
          <w:rtl w:val="true"/>
        </w:rPr>
        <w:t>/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הנחיית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פרקליט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המדינה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ממנה עולה כי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מתחם המוצא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לנשיאת תחמושת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לפי ההנחיה</w:t>
      </w:r>
      <w:r>
        <w:rPr>
          <w:rFonts w:eastAsia="Calibri" w:cs="FrankRuehl" w:ascii="FrankRuehl" w:hAnsi="FrankRuehl"/>
          <w:sz w:val="28"/>
          <w:szCs w:val="28"/>
          <w:rtl w:val="true"/>
        </w:rPr>
        <w:t>): "</w:t>
      </w:r>
      <w:r>
        <w:rPr>
          <w:rFonts w:eastAsia="Calibri" w:cs="FrankRuehl" w:ascii="FrankRuehl" w:hAnsi="FrankRuehl"/>
          <w:sz w:val="28"/>
          <w:szCs w:val="28"/>
        </w:rPr>
        <w:t>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חודשי מאסר בעבודות שירות עד </w:t>
      </w:r>
      <w:r>
        <w:rPr>
          <w:rFonts w:eastAsia="Calibri" w:cs="FrankRuehl" w:ascii="FrankRuehl" w:hAnsi="FrankRuehl"/>
          <w:sz w:val="28"/>
          <w:szCs w:val="28"/>
        </w:rPr>
        <w:t>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חודשי מאסר בפועל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מובן שכשמדובר בתחמושת בכמות גדולה יהיה מקום לחרוג לחומרה ממתחם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אף הוא הגיש מספר פסקי דין להמחשת מדיניות הענישה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וביקש להבחין בין נסיבותיהם המחמירות של פסקי הדין שהגישה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לבין עניינו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לטענת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המדובר במי שנכנס לישראל לצורכי פרנסה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והיה בדרכו בחזרה לביתו לאחר העבודה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לקח אחריות על מעשיו כבר בחקירתו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כשסיפר כי מצא את התחמושת במהלך יום העבודה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התכוון להשליך אותה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ומחמת שיכחה לא עשה זאת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לטענת ההגנה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העבירות בהן הורשע הנאשם מצדיקות – כשהן בנפרד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קביעת מתחמי ענישה שתחתיתם במאסר צופה פני עתיד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שילובן של העבירות מבסס מתחם עונש שתחילתו לכל היותר במאסר קצר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וחלקו העליון במספר חודשי 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בחור צעיר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ללא הרשעות קודמות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הודה במיוחס לו כאמור כבר בחקירתו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מכאן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ביקש להסתפק בתקופה בה הנאשם נתון במעצר מיום האירוע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הביע צער וחרטה על 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והדגיש כי מדובר במעורבותו היחידה בפלילים</w:t>
      </w:r>
      <w:r>
        <w:rPr>
          <w:rFonts w:eastAsia="Calibri" w:cs="FrankRuehl" w:ascii="FrankRuehl" w:hAnsi="FrankRuehl"/>
          <w:sz w:val="28"/>
          <w:szCs w:val="28"/>
          <w:rtl w:val="true"/>
        </w:rPr>
        <w:t>.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הדבר הזה חינך אותי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לא אכנס בלי אישורים בחיים למדינת ישראל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אעבוד ב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50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ליום ולא אכנס בלי אישור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לא אכנס לדברים האלה שוב</w:t>
      </w:r>
      <w:r>
        <w:rPr>
          <w:rFonts w:eastAsia="Calibri"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4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נוסף על הפגיעה המובנית ביכולתן של הרשויות לִבְרוֹר את הבאים בשערי הארץ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פגע הנאשם בביטחונם של תושבי המדינה כשנשא בכליו תחמושת מסוגים שונים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וכן מחסנית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אם לא די בכך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אף ניסה לשבש את החקירה בעניינו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מקובלת עליי טענתה של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לפיה הנאשם לא ביסס בראיות את גרסתו לפיה נכנס לישראל לצורכי פרנסה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כן מצאתי לזקוף לחומרה את הזמנים בהם אנו מצויים – תקופה מרובת פיגועים ואירועים ביטחוניים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כשמעשיו של הנאשם מלמדים על מסוכנות הנשקפת ממנו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בצד זאת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ברי כי כל מקרה נבחן לגופו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כמות התחמושת שנתפסה מועטה ביותר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כדורים בודדים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שלושה מהם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שמונה כדורי אימון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ומחסנית ריקה שמתאימה לאחד הכדורים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מידת חומרתן של העבירות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ועוצמת הסיכון שנשקף מהנאשם תיקבענה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בהתאם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5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פסקי הדין שהגישו הצדדים עוסקים באירועים חמורים במידה ניכרת מענייננו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כפי שנראה 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עתירתה העונשית של המאשימה מחמירה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ממדיניות הענישה הנוהגת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פילו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מהנחי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 פרקליט המדינה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12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עכו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3256-09-21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סואע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ד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15.3.22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הוגש ע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החזקת רימון הלם בבית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נקבע מתחם בין </w:t>
      </w:r>
      <w:r>
        <w:rPr>
          <w:rFonts w:eastAsia="Calibri" w:cs="FrankRuehl" w:ascii="FrankRuehl" w:hAnsi="FrankRuehl"/>
          <w:sz w:val="28"/>
          <w:szCs w:val="28"/>
        </w:rPr>
        <w:t>20-9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והנאשם – צעיר ללא הרשעות קודמות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הודה במיוחס 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נדון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ביחס לפסק דין זה הפנה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להנחיית פרקליט המדינה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ממנה עולה כי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מתחם המוצא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בגין החזקת רימון הלם מחמירה יותר מזו שנוגעת לנשיאת תחמושת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13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רמלה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13478-06-19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אלשמאלי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28.1.21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בצירוף </w:t>
      </w:r>
      <w:hyperlink r:id="rId14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30632-03-21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eastAsia="Calibri" w:cs="FrankRuehl" w:ascii="FrankRuehl" w:hAnsi="FrankRuehl"/>
          <w:sz w:val="28"/>
          <w:szCs w:val="28"/>
        </w:rPr>
        <w:t>19.9.21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טרם פורסם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הוגש ע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החזקת נשק והחזקת תחמושת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רקע סכסוך בין שתי משפחות ניגשו הנאשמים לבית עלמין הסמוך לביתם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ונטלו נשק מאולתר דמוי רובה סער מסוג </w:t>
      </w:r>
      <w:r>
        <w:rPr>
          <w:rFonts w:eastAsia="Calibri" w:cs="FrankRuehl" w:ascii="FrankRuehl" w:hAnsi="FrankRuehl"/>
          <w:sz w:val="28"/>
          <w:szCs w:val="28"/>
        </w:rPr>
        <w:t>16</w:t>
      </w:r>
      <w:r>
        <w:rPr>
          <w:rFonts w:eastAsia="Calibri" w:cs="FrankRuehl" w:ascii="FrankRuehl" w:hAnsi="FrankRuehl"/>
          <w:sz w:val="28"/>
          <w:szCs w:val="28"/>
        </w:rPr>
        <w:t>M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ובתוכו מחסנית טעונה שהכילה </w:t>
      </w:r>
      <w:r>
        <w:rPr>
          <w:rFonts w:eastAsia="Calibri" w:cs="FrankRuehl" w:ascii="FrankRuehl" w:hAnsi="FrankRuehl"/>
          <w:sz w:val="28"/>
          <w:szCs w:val="28"/>
        </w:rPr>
        <w:t>30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כדורים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וכן מחסנית נוספת שהכילה </w:t>
      </w:r>
      <w:r>
        <w:rPr>
          <w:rFonts w:eastAsia="Calibri" w:cs="FrankRuehl" w:ascii="FrankRuehl" w:hAnsi="FrankRuehl"/>
          <w:sz w:val="28"/>
          <w:szCs w:val="28"/>
        </w:rPr>
        <w:t>27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כדורים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אחרים החלו לירות לעבר הנאשמים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נמלטו מהמקום כשהם מחזיקים באמל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במהלך הימלטותם השליך אחד מהם את הנשק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ואילו האחר המשיך להחזיק במחסנית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במהלך האירוע נפצעו הנאשמים ונזקקו לטיפול רפואי ולאשפוז למשך מספר ימים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נקבע מתחם עונש בין </w:t>
      </w:r>
      <w:r>
        <w:rPr>
          <w:rFonts w:eastAsia="Calibri" w:cs="FrankRuehl" w:ascii="FrankRuehl" w:hAnsi="FrankRuehl"/>
          <w:sz w:val="28"/>
          <w:szCs w:val="28"/>
        </w:rPr>
        <w:t>18-8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והנאשמים נדונו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ערעורי המדינה והנאשמים נדחו בהסכמה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תוך שבית המשפט המחוזי קבע כי מתחם העונש שנקבע מקל ואינו מבטא נכונה את מדיניות הענישה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בנותנו משקל יתר לפציעתם של הנאשמים ולטענתם בדבר הגנה עצמית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15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46659-09-20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אלסעדי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22.12.20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פורסם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בצירוף </w:t>
      </w:r>
      <w:hyperlink r:id="rId16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12781-02-21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אלסעדי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18.4.21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פורסם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הוגש ע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וב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גם יחד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הנאשם הורשע בכניסה לישראל שלא כדין ובנשיאה של </w:t>
      </w:r>
      <w:r>
        <w:rPr>
          <w:rFonts w:eastAsia="Calibri" w:cs="FrankRuehl" w:ascii="FrankRuehl" w:hAnsi="FrankRuehl"/>
          <w:sz w:val="28"/>
          <w:szCs w:val="28"/>
        </w:rPr>
        <w:t>9,900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כדורי תחמושת בקוטר </w:t>
      </w:r>
      <w:r>
        <w:rPr>
          <w:rFonts w:eastAsia="Calibri" w:cs="FrankRuehl" w:ascii="FrankRuehl" w:hAnsi="FrankRuehl"/>
          <w:sz w:val="28"/>
          <w:szCs w:val="28"/>
        </w:rPr>
        <w:t>5.56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המדובר בעשרה ארגזי תחמושת צבאיים המכילים </w:t>
      </w:r>
      <w:r>
        <w:rPr>
          <w:rFonts w:eastAsia="Calibri" w:cs="FrankRuehl" w:ascii="FrankRuehl" w:hAnsi="FrankRuehl"/>
          <w:sz w:val="28"/>
          <w:szCs w:val="28"/>
        </w:rPr>
        <w:t>990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כדורים כל אחד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אותם רכש הנאשם בתמורה לתשלום סך של </w:t>
      </w:r>
      <w:r>
        <w:rPr>
          <w:rFonts w:eastAsia="Calibri" w:cs="FrankRuehl" w:ascii="FrankRuehl" w:hAnsi="FrankRuehl"/>
          <w:sz w:val="28"/>
          <w:szCs w:val="28"/>
        </w:rPr>
        <w:t>38,000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בית משפט השלום קבע את מתחם העונש בין </w:t>
      </w:r>
      <w:r>
        <w:rPr>
          <w:rFonts w:eastAsia="Calibri" w:cs="FrankRuehl" w:ascii="FrankRuehl" w:hAnsi="FrankRuehl"/>
          <w:sz w:val="28"/>
          <w:szCs w:val="28"/>
        </w:rPr>
        <w:t>24-12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וגזר את עונשו של הנאשם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בית המשפט המחוזי קיבל את ערעורו של הנאשם והעמיד את עונש המאסר בפועל על </w:t>
      </w:r>
      <w:r>
        <w:rPr>
          <w:rFonts w:eastAsia="Calibri" w:cs="FrankRuehl" w:ascii="FrankRuehl" w:hAnsi="FrankRuehl"/>
          <w:sz w:val="28"/>
          <w:szCs w:val="28"/>
        </w:rPr>
        <w:t>15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בעיקר לנוכח טענה לאכיפה בררנית ביחס לזה שהסיע את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17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נצרת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41041-07-21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אמארה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9.2.22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הוגש ע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נשיאת תחמושת – </w:t>
      </w:r>
      <w:r>
        <w:rPr>
          <w:rFonts w:eastAsia="Calibri" w:cs="FrankRuehl" w:ascii="FrankRuehl" w:hAnsi="FrankRuehl"/>
          <w:sz w:val="28"/>
          <w:szCs w:val="28"/>
        </w:rPr>
        <w:t>4,597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כדורים מסוגים שונים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אותם קיבל הנאשם מחייל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כן הורשע הנאשם בקבלת נכסים שהושגו בפשע ובנהיגה ללא רישיון נהיגה וללא ביטוח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מתחם העונש נקבע בין </w:t>
      </w:r>
      <w:r>
        <w:rPr>
          <w:rFonts w:eastAsia="Calibri" w:cs="FrankRuehl" w:ascii="FrankRuehl" w:hAnsi="FrankRuehl"/>
          <w:sz w:val="28"/>
          <w:szCs w:val="28"/>
        </w:rPr>
        <w:t>30-10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והנאשם נדון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hyperlink r:id="rId18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ירושלים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29052-11-20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דאנע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16.11.22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הוגש ע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החזקת תחמושת – </w:t>
      </w:r>
      <w:r>
        <w:rPr>
          <w:rFonts w:eastAsia="Calibri" w:cs="FrankRuehl" w:ascii="FrankRuehl" w:hAnsi="FrankRuehl"/>
          <w:sz w:val="28"/>
          <w:szCs w:val="28"/>
        </w:rPr>
        <w:t>34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כדורים בקוטר </w:t>
      </w:r>
      <w:r>
        <w:rPr>
          <w:rFonts w:eastAsia="Calibri" w:cs="FrankRuehl" w:ascii="FrankRuehl" w:hAnsi="FrankRuehl"/>
          <w:sz w:val="28"/>
          <w:szCs w:val="28"/>
        </w:rPr>
        <w:t>5.56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 בתוך גרב שנמצא בתיק אותו נשא הנאשם על גבו עת עבר במחסום שועפט בירושלים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נקבע מתחם עונש בין מאסר על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תנאי לבין </w:t>
      </w:r>
      <w:r>
        <w:rPr>
          <w:rFonts w:eastAsia="Calibri" w:cs="FrankRuehl" w:ascii="FrankRuehl" w:hAnsi="FrankRuehl"/>
          <w:sz w:val="28"/>
          <w:szCs w:val="28"/>
        </w:rPr>
        <w:t>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והנאשם נדון למאסר על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תנאי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צו מבחן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של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צ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קנס והתחייבות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הפנה אף לפסיקה שנזכרה בגזר הדין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6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עיון בפסקי הדין שהגישו הצדדים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מלמד כאמור כי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אין הלימה בין מדיניות הענישה הנוהגת והנחיית פרקליט המדינה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לבין עמדתה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של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בענייננו אין מדובר במי שהחזיק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 במי שנשא כמויות אדירות של תחמושת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כפי חלק מפסקי הדין שהוצגו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מנגד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שילוב העבירות שביצע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בתקופה הביטחונית הרגישה בה אנו מצויים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מחייב השתת ענישה הולמת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תוך התחשבות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בין השאר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במגמת ההחמרה העקבית המתחייבת על פי הוראת המחוקק ופסיקת בית המשפט העליון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ראו </w:t>
      </w:r>
      <w:hyperlink r:id="rId19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6383/21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עידן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קריף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נ</w:t>
      </w:r>
      <w:r>
        <w:rPr>
          <w:rFonts w:eastAsia="Calibri" w:cs="Miriam" w:ascii="FrankRuehl" w:hAnsi="FrankRuehl"/>
          <w:b/>
          <w:sz w:val="28"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מדינת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sz w:val="28"/>
          <w:sz w:val="28"/>
          <w:rtl w:val="true"/>
        </w:rPr>
        <w:t>ישראל</w:t>
      </w:r>
      <w:r>
        <w:rPr>
          <w:rFonts w:ascii="FrankRuehl" w:hAnsi="FrankRuehl" w:eastAsia="FrankRuehl" w:cs="FrankRuehl"/>
          <w:b/>
          <w:b/>
          <w:sz w:val="28"/>
          <w:sz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13.2.22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פסקה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  <w:tab w:val="left" w:pos="800" w:leader="none"/>
          <w:tab w:val="left" w:pos="1049" w:leader="none"/>
          <w:tab w:val="right" w:pos="2160" w:leader="none"/>
          <w:tab w:val="right" w:pos="2790" w:leader="none"/>
        </w:tabs>
        <w:overflowPunct w:val="false"/>
        <w:autoSpaceDE w:val="false"/>
        <w:ind w:start="1644" w:end="1247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ab/>
        <w:tab/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לעיתים נכון להחמיר בענישה בגין סוגים מסוימים של עבירות בשל אופיין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עד כי יש לסווגן כ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מכת מדינה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עבירות הנשק דורשות החמרה בשל שני הנימוקים גם יחד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ממד החומרה שבהן נעוץ בזיקתן לכלי בעל כוח קטלני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ובראי התקופה – הפגיעה באינטרס הציבורי ובבטחון הפרט דורשת ענישה מחמירה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מעבר לזו שהייתה נקוטה בעבר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בפסיקה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הובהר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שוב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ושוב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בשנים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האחרונות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כי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הענישה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בעבירות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נשק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צריכה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להיות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מחמירה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לצערנו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מספרן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והיקפן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עבירות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אלה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גדלים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בשנים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האחרונות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פגיעתו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הרעה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הנשק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אינה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תחומה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לסביבה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העבריינית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לא פעם נפגעי העבירה נקלעים למקום במקרה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ואינם קשורים למעגל עברייני כלשהו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כל חטאו של נפגע עבירה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לפעמים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הוא בכך שיצא מביתו ובחר להסתובב ברשות הרבים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  <w:tab w:val="left" w:pos="800" w:leader="none"/>
          <w:tab w:val="left" w:pos="1049" w:leader="none"/>
          <w:tab w:val="right" w:pos="2160" w:leader="none"/>
          <w:tab w:val="right" w:pos="2790" w:leader="none"/>
        </w:tabs>
        <w:overflowPunct w:val="false"/>
        <w:autoSpaceDE w:val="false"/>
        <w:ind w:start="1644" w:end="1247"/>
        <w:jc w:val="both"/>
        <w:rPr>
          <w:rFonts w:ascii="FrankRuehl" w:hAnsi="FrankRuehl" w:eastAsia="FrankRuehl" w:cs="FrankRuehl"/>
          <w:spacing w:val="10"/>
          <w:sz w:val="28"/>
          <w:szCs w:val="28"/>
        </w:rPr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  <w:tab w:val="left" w:pos="800" w:leader="none"/>
          <w:tab w:val="left" w:pos="1049" w:leader="none"/>
          <w:tab w:val="right" w:pos="2160" w:leader="none"/>
          <w:tab w:val="right" w:pos="2790" w:leader="none"/>
        </w:tabs>
        <w:overflowPunct w:val="false"/>
        <w:autoSpaceDE w:val="false"/>
        <w:ind w:start="1644" w:end="1247"/>
        <w:jc w:val="both"/>
        <w:rPr>
          <w:rFonts w:ascii="Calibri" w:hAnsi="Calibri" w:cs="FrankRuehl"/>
          <w:spacing w:val="10"/>
          <w:szCs w:val="28"/>
        </w:rPr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ab/>
        <w:tab/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הפגיעה אף אינה תחומה רק לנזק הפיזי שנגרם כתוצאה מהשימוש בנשק בלבד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השימוש בנשק עלול ליצור תחושת חשש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ופחד מפני ביצוע פעולה אלמנטרית שעומדת בליבת חופש התנועה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 xml:space="preserve">בכך נוצרת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הרתעה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של הנפגע הפוטנציאלי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זהו רובד אחד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רובד נוסף הוא התעצמות הפעילות העבריינית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פועלה ושאיפתה לשלוט בתחומים רחבים ושונים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התופעות של עסקאות בנשק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הובלתו ונשיאתו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מאיימות לא רק על שלמות הגוף של הציבור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אלא גם על שלום הציבור ועל הסדר הציבורי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 xml:space="preserve">אקדח שיורה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במערכה השלישית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גורם כמובן לנזק רב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 xml:space="preserve">אך גם אקדח שמונח על השולחן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במערכה הראשונה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" –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>אף אם לא נעשה בו כל שימוש אחר בהמשך – עלול לפגוע בשלום הציבור באופן ממשי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FrankRuehl" w:cs="FrankRuehl"/>
          <w:spacing w:val="10"/>
          <w:sz w:val="28"/>
          <w:sz w:val="28"/>
          <w:szCs w:val="28"/>
          <w:rtl w:val="true"/>
        </w:rPr>
        <w:t xml:space="preserve">יש לקשור </w:t>
      </w:r>
      <w:r>
        <w:rPr>
          <w:rFonts w:cs="FrankRuehl"/>
          <w:spacing w:val="10"/>
          <w:szCs w:val="28"/>
          <w:rtl w:val="true"/>
        </w:rPr>
        <w:t>אפוא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מלחמת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חורמה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עבירות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הנשק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למיניהן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וגם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בית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המשפט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לתרום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חלקו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למלחמה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זו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באמצעות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ענישה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הולמת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ומרתיעה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cs="FrankRuehl"/>
          <w:spacing w:val="10"/>
          <w:szCs w:val="28"/>
          <w:rtl w:val="true"/>
        </w:rPr>
        <w:t>לא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פעם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נקבע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כי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יש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להחמיר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בענישה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בגין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עבירות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נשק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ולהעניק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משקל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מרכזי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לשיקול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הרתעת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הכלל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</w:rPr>
          <w:t>1768/14</w:t>
        </w:r>
      </w:hyperlink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גנאיים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פסקה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</w:rPr>
        <w:t>11</w:t>
      </w:r>
      <w:r>
        <w:rPr>
          <w:rFonts w:cs="FrankRuehl"/>
          <w:spacing w:val="10"/>
          <w:szCs w:val="28"/>
          <w:rtl w:val="true"/>
        </w:rPr>
        <w:t xml:space="preserve"> (</w:t>
      </w:r>
      <w:r>
        <w:rPr>
          <w:rFonts w:cs="FrankRuehl"/>
          <w:spacing w:val="10"/>
          <w:szCs w:val="28"/>
        </w:rPr>
        <w:t>22.7.2014</w:t>
      </w:r>
      <w:r>
        <w:rPr>
          <w:rFonts w:cs="FrankRuehl"/>
          <w:spacing w:val="10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</w:rPr>
          <w:t>3138/11</w:t>
        </w:r>
      </w:hyperlink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פסקה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</w:rPr>
        <w:t>5</w:t>
      </w:r>
      <w:r>
        <w:rPr>
          <w:rFonts w:cs="FrankRuehl"/>
          <w:spacing w:val="10"/>
          <w:szCs w:val="28"/>
          <w:rtl w:val="true"/>
        </w:rPr>
        <w:t xml:space="preserve"> (</w:t>
      </w:r>
      <w:r>
        <w:rPr>
          <w:rFonts w:cs="FrankRuehl"/>
          <w:spacing w:val="10"/>
          <w:szCs w:val="28"/>
        </w:rPr>
        <w:t>6.3.2012</w:t>
      </w:r>
      <w:r>
        <w:rPr>
          <w:rFonts w:cs="FrankRuehl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eastAsia="Calibri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7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רקע השיקולים עליהם עמדתי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תוך התחשבות במדיניות הענישה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אני קובע את מתחם העונש בין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חודשי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מאסר בפועל לבין </w:t>
      </w:r>
      <w:r>
        <w:rPr>
          <w:rFonts w:eastAsia="Calibri" w:cs="FrankRuehl" w:ascii="FrankRuehl" w:hAnsi="FrankRuehl"/>
          <w:sz w:val="28"/>
          <w:szCs w:val="28"/>
        </w:rPr>
        <w:t>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בגזירת העונש בתוך המתחם התחשבתי בגילו הצעיר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בכך שמדובר במעורבותו היחידה בפלילים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ובהודייתו בשלב מוקדם מאוד של ההליך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מכאן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החלטתי לקבוע את עונשו בתחתית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בהתחשב בכך שהנאשם נכנס לראשונה בחייו אל בין כותלי בית האסורים ובתקופת מאסרו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החלטתי להסתפק ברכיב כספי צופה פני עתיד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אני גוזר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אשר ימנו מיום מעצרו – </w:t>
      </w:r>
      <w:r>
        <w:rPr>
          <w:rFonts w:cs="FrankRuehl" w:ascii="FrankRuehl" w:hAnsi="FrankRuehl"/>
          <w:sz w:val="28"/>
          <w:szCs w:val="28"/>
        </w:rPr>
        <w:t>3.2.23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אותם לא ירצה הנאשם אלא אם יעבור תוך שלוש שנים עבירה על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הכניסה לישראל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או עבירה הקשורה בנשק או בתחמושת או החזקת סכין שלא כדין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ייתן התחייבות בסך </w:t>
      </w:r>
      <w:r>
        <w:rPr>
          <w:rFonts w:cs="FrankRuehl" w:ascii="FrankRuehl" w:hAnsi="FrankRuehl"/>
          <w:sz w:val="28"/>
          <w:szCs w:val="28"/>
        </w:rPr>
        <w:t>1,500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לבל יעבור במשך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שנים עבירה על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הכניסה לישראל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עבירה הקשורה בנשק או בתחמושת או החזקת סכין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יצהיר על התחייבותו לפניי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שאם לא כן ירצה מאסר בן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ההתחייבות תיכנס לתוקף במועד שחרורו ממאסר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Miriam"/>
          <w:b/>
          <w:sz w:val="28"/>
          <w:u w:val="single"/>
        </w:rPr>
      </w:pPr>
      <w:r>
        <w:rPr>
          <w:rFonts w:cs="Miriam" w:ascii="FrankRuehl" w:hAnsi="FrankRuehl"/>
          <w:b/>
          <w:color w:val="FFFFFF"/>
          <w:sz w:val="2"/>
          <w:szCs w:val="2"/>
          <w:u w:val="single"/>
        </w:rPr>
        <w:t>54678313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זכות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ערעור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לבית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המשפט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המחוזי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תוך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cs="Miriam" w:ascii="FrankRuehl" w:hAnsi="FrankRuehl"/>
          <w:b/>
          <w:sz w:val="28"/>
          <w:u w:val="single"/>
        </w:rPr>
        <w:t>45</w:t>
      </w:r>
      <w:r>
        <w:rPr>
          <w:rFonts w:cs="Miriam" w:ascii="FrankRuehl" w:hAnsi="FrankRuehl"/>
          <w:b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ימים</w:t>
      </w:r>
      <w:r>
        <w:rPr>
          <w:rFonts w:ascii="FrankRuehl" w:hAnsi="FrankRuehl" w:eastAsia="FrankRuehl" w:cs="FrankRuehl"/>
          <w:b/>
          <w:b/>
          <w:sz w:val="28"/>
          <w:sz w:val="28"/>
          <w:u w:val="single"/>
          <w:rtl w:val="true"/>
        </w:rPr>
        <w:t xml:space="preserve"> </w:t>
      </w:r>
      <w:r>
        <w:rPr>
          <w:rFonts w:ascii="FrankRuehl" w:hAnsi="FrankRuehl" w:cs="Miriam"/>
          <w:b/>
          <w:b/>
          <w:sz w:val="28"/>
          <w:sz w:val="28"/>
          <w:u w:val="single"/>
          <w:rtl w:val="true"/>
        </w:rPr>
        <w:t>מהיום</w:t>
      </w:r>
      <w:r>
        <w:rPr>
          <w:rFonts w:cs="Miriam" w:ascii="FrankRuehl" w:hAnsi="FrankRuehl"/>
          <w:b/>
          <w:sz w:val="28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Miriam"/>
          <w:b/>
          <w:sz w:val="28"/>
          <w:u w:val="single"/>
        </w:rPr>
      </w:pPr>
      <w:r>
        <w:rPr>
          <w:rFonts w:cs="Miriam" w:ascii="FrankRuehl" w:hAnsi="FrankRuehl"/>
          <w:b/>
          <w:sz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 אדר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מרץ </w:t>
      </w:r>
      <w:r>
        <w:rPr>
          <w:rFonts w:cs="FrankRuehl" w:ascii="FrankRuehl" w:hAnsi="FrankRuehl"/>
          <w:sz w:val="28"/>
          <w:szCs w:val="28"/>
        </w:rPr>
        <w:t>2023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  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גיא אבנון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נת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12493-02-23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מאגד לימון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90721/12.1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case/27910054" TargetMode="External"/><Relationship Id="rId13" Type="http://schemas.openxmlformats.org/officeDocument/2006/relationships/hyperlink" Target="http://www.nevo.co.il/case/25760654" TargetMode="External"/><Relationship Id="rId14" Type="http://schemas.openxmlformats.org/officeDocument/2006/relationships/hyperlink" Target="http://www.nevo.co.il/case/27472496" TargetMode="External"/><Relationship Id="rId15" Type="http://schemas.openxmlformats.org/officeDocument/2006/relationships/hyperlink" Target="http://www.nevo.co.il/case/27018143" TargetMode="External"/><Relationship Id="rId16" Type="http://schemas.openxmlformats.org/officeDocument/2006/relationships/hyperlink" Target="http://www.nevo.co.il/case/27381393" TargetMode="External"/><Relationship Id="rId17" Type="http://schemas.openxmlformats.org/officeDocument/2006/relationships/hyperlink" Target="http://www.nevo.co.il/case/27796716" TargetMode="External"/><Relationship Id="rId18" Type="http://schemas.openxmlformats.org/officeDocument/2006/relationships/hyperlink" Target="http://www.nevo.co.il/case/27150100" TargetMode="External"/><Relationship Id="rId19" Type="http://schemas.openxmlformats.org/officeDocument/2006/relationships/hyperlink" Target="http://www.nevo.co.il/case/27925239" TargetMode="External"/><Relationship Id="rId20" Type="http://schemas.openxmlformats.org/officeDocument/2006/relationships/hyperlink" Target="http://www.nevo.co.il/case/13023134" TargetMode="External"/><Relationship Id="rId21" Type="http://schemas.openxmlformats.org/officeDocument/2006/relationships/hyperlink" Target="http://www.nevo.co.il/case/5878120" TargetMode="External"/><Relationship Id="rId22" Type="http://schemas.openxmlformats.org/officeDocument/2006/relationships/hyperlink" Target="http://www.nevo.co.il/law/90721" TargetMode="External"/><Relationship Id="rId23" Type="http://schemas.openxmlformats.org/officeDocument/2006/relationships/hyperlink" Target="http://www.nevo.co.il/law/9072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2023-11-12T10:35:00Z</dcterms:created>
  <dc:creator> </dc:creator>
  <dc:description/>
  <cp:keywords/>
  <dc:language>en-IL</dc:language>
  <cp:lastModifiedBy>h1</cp:lastModifiedBy>
  <dcterms:modified xsi:type="dcterms:W3CDTF">2023-11-12T10:35:00Z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מאגד לימון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27910054;25760654;27472496;27018143;27381393;27796716;27150100;27925239;13023134;5878120</vt:lpwstr>
  </property>
  <property fmtid="{D5CDD505-2E9C-101B-9397-08002B2CF9AE}" pid="9" name="CITY">
    <vt:lpwstr>נת'</vt:lpwstr>
  </property>
  <property fmtid="{D5CDD505-2E9C-101B-9397-08002B2CF9AE}" pid="10" name="DATE">
    <vt:lpwstr>20230321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גיא אבנון</vt:lpwstr>
  </property>
  <property fmtid="{D5CDD505-2E9C-101B-9397-08002B2CF9AE}" pid="14" name="LAWLISTTMP1">
    <vt:lpwstr>90721/012.1</vt:lpwstr>
  </property>
  <property fmtid="{D5CDD505-2E9C-101B-9397-08002B2CF9AE}" pid="15" name="LAWLISTTMP2">
    <vt:lpwstr>70301/144.b;244</vt:lpwstr>
  </property>
  <property fmtid="{D5CDD505-2E9C-101B-9397-08002B2CF9AE}" pid="16" name="LAWYER">
    <vt:lpwstr>שני מלול;מואנס יונס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12493</vt:lpwstr>
  </property>
  <property fmtid="{D5CDD505-2E9C-101B-9397-08002B2CF9AE}" pid="23" name="NEWPARTB">
    <vt:lpwstr>02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380020230321</vt:lpwstr>
  </property>
  <property fmtid="{D5CDD505-2E9C-101B-9397-08002B2CF9AE}" pid="35" name="TYPE_N_DATE">
    <vt:lpwstr>38020230321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