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12498-10-12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שיחה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משה אלטר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  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האני אבו שיחה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גל ירדן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הובא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הסניגור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עבד פהום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מטעם הסניגוריה הציבורית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5" w:name="PsakDin"/>
      <w:bookmarkEnd w:id="5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>הנאשם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תושב הרשות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בביצוע עבירות לפי סעיף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הכניסה לישראל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ולפי סעיף </w:t>
      </w:r>
      <w:r>
        <w:rPr>
          <w:rFonts w:cs="Arial" w:ascii="Arial" w:hAnsi="Arial"/>
        </w:rPr>
        <w:t>420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לאחר שהודה כי בתאריך  </w:t>
      </w:r>
      <w:r>
        <w:rPr>
          <w:rFonts w:cs="Arial" w:ascii="Arial" w:hAnsi="Arial"/>
        </w:rPr>
        <w:t>4/10/12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נמצא שוהה בתחומי 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המדינה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מבלי שהיו ברשותו אישורי כניסה ושהייה כדין וכאשר התבקש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השוטר רס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נזיה עאמר להזדהות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 תעודה מזהה מזויפת על שם גולאני דאוד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080708381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הנושאת את תמונתו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הצדדים לעונש</w:t>
      </w:r>
      <w:r>
        <w:rPr>
          <w:rFonts w:cs="Arial" w:ascii="Arial" w:hAnsi="Arial"/>
          <w:rtl w:val="true"/>
        </w:rPr>
        <w:t>.</w:t>
      </w:r>
      <w:bookmarkStart w:id="9" w:name="_GoBack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להטיל על הנאשם עונש שיכלול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לאור העובדה שהעבירה בוצעה לאחר שהנאשם  קיבל החלטה  מושכלת  להפר את החוק ולאחר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הצטיידות בתעודת זהות מזויפת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שפוגעת העבירה בשלום הציבור ובריבונותה של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החברתי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הכלכלי והביטחוני הרב שנגרם למדינה  כתוצאה מביצוע עבירה לפי סעיף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שזו עבירה נפוצה וקשה לגילוי ולאור מדיניות הענישה הנהוגה בסוג זה של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את העובדה שבעבר הורשע כבר הנאשם בביצוע עבירה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ממוצג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שלא למצות את הדין עם הנאשם ולהסתפק  בימי מעצרו עד כה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נעצר ביום </w:t>
      </w:r>
      <w:r>
        <w:rPr>
          <w:rFonts w:cs="Arial" w:ascii="Arial" w:hAnsi="Arial"/>
        </w:rPr>
        <w:t>4/10/12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ולהטיל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זאת לאור העובדה שמדובר בנאשם נשוי </w:t>
      </w:r>
      <w:r>
        <w:rPr>
          <w:rFonts w:cs="Arial" w:ascii="Arial" w:hAnsi="Arial"/>
          <w:rtl w:val="true"/>
        </w:rPr>
        <w:t xml:space="preserve">+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שנכנס לתחומי המדינה כדי לחפש פרנסה לו ולבני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שבעבר היה לו אישור  כניסה לישראל לצורך חיפוש עבודה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שהיה בתוקף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3/9/12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9/9/12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ממוצג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שמלמד כי לא מדובר בנאשם המהווה סכנה לביטחון המדינה וכי  השימוש בתעודת הזיהוי המזויפת נעשה אך ורק משום שפחד להיתפס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להתייחס אל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העונש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כאל מי שאין לו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לאור העובדה  שמאז שעבר את העבירה האחרונה לפי סעיף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חלפו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לאור הוראות סעיף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הכלול בסימן א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לפרק ו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שהוסף לחוק העונשין בתיקון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עליי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אגזור את דינו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לקבוע את מתחם העונש ההולם  למעשי העבירה שבביצועם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 לעקרון המנחה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קיומו של יחס הולם בין חומרת מעשי העבירה בנסיבותיהם ומידת אשמו של הנאשם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ובהתחשב  בערך החברתי שנפגע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בערך החברתי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 הנהוגה ובנסיבות  הקשורות בביצוע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התכנון שקדם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שעלול היה להיגרם מביצוען והנזק שנגרם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והמניע לביצוע העבירות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הטיעונים לעונש 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בנסיבות התיק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חתימה על התחייבות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שהסניגור טען כי מתחם העונש ההולם נע בין מאסר על תנאי עד למאסר בפועל לתקופה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אין חולקין ששהייתם של תושבי שטחים בלתי מורשים בתחומי המדינה מהווה סיכון ביטחוני</w:t>
      </w:r>
      <w:r>
        <w:rPr>
          <w:rtl w:val="true"/>
        </w:rPr>
        <w:t xml:space="preserve">.  </w:t>
      </w:r>
      <w:r>
        <w:rPr>
          <w:rtl w:val="true"/>
        </w:rPr>
        <w:t>ראוי  לציין שכאשר תושב שטחים חודר לישראל</w:t>
      </w:r>
      <w:r>
        <w:rPr>
          <w:rtl w:val="true"/>
        </w:rPr>
        <w:t xml:space="preserve">, </w:t>
      </w:r>
      <w:r>
        <w:rPr>
          <w:rtl w:val="true"/>
        </w:rPr>
        <w:t xml:space="preserve">אין לדעת מה כוונתו </w:t>
      </w:r>
      <w:r>
        <w:rPr>
          <w:rtl w:val="true"/>
        </w:rPr>
        <w:t xml:space="preserve">-  </w:t>
      </w:r>
      <w:r>
        <w:rPr>
          <w:rtl w:val="true"/>
        </w:rPr>
        <w:t>האם למצוא עבודה ופרנסה</w:t>
      </w:r>
      <w:r>
        <w:rPr>
          <w:rtl w:val="true"/>
        </w:rPr>
        <w:t xml:space="preserve">, </w:t>
      </w:r>
      <w:r>
        <w:rPr>
          <w:rtl w:val="true"/>
        </w:rPr>
        <w:t>או חלילה</w:t>
      </w:r>
      <w:r>
        <w:rPr>
          <w:rtl w:val="true"/>
        </w:rPr>
        <w:t xml:space="preserve">, </w:t>
      </w:r>
      <w:r>
        <w:rPr>
          <w:rtl w:val="true"/>
        </w:rPr>
        <w:t>לבצע פיגועים</w:t>
      </w:r>
      <w:r>
        <w:rPr>
          <w:rtl w:val="true"/>
        </w:rPr>
        <w:t xml:space="preserve">. </w:t>
      </w:r>
      <w:r>
        <w:rPr>
          <w:rtl w:val="true"/>
        </w:rPr>
        <w:t>יש לזכור שעצם חדירתם של תושבי שטחים בלתי מורשים לתחומי המדינה</w:t>
      </w:r>
      <w:r>
        <w:rPr>
          <w:rtl w:val="true"/>
        </w:rPr>
        <w:t xml:space="preserve">, </w:t>
      </w:r>
      <w:r>
        <w:rPr>
          <w:rtl w:val="true"/>
        </w:rPr>
        <w:t>מקשה על עבודתם המסורה והקשה של כוחות הביטחון</w:t>
      </w:r>
      <w:r>
        <w:rPr>
          <w:rtl w:val="true"/>
        </w:rPr>
        <w:t xml:space="preserve">, </w:t>
      </w:r>
      <w:r>
        <w:rPr>
          <w:rtl w:val="true"/>
        </w:rPr>
        <w:t>העוסקים יומם וליל בסיכול הנסיונות לבצע פיגועים ולכן יש  לעשות כל מאמץ על מנת להקטין את התופעה של כניסת תושבי שטחים בלתי מורשים לתחומי המדינה</w:t>
      </w:r>
      <w:r>
        <w:rPr>
          <w:rtl w:val="true"/>
        </w:rPr>
        <w:t xml:space="preserve">. </w:t>
      </w:r>
      <w:r>
        <w:rPr>
          <w:rtl w:val="true"/>
        </w:rPr>
        <w:t>אחת הדרכים להילחם בתופעה זו הינה בנקיטת מדיניות ענישה  מרתיעה</w:t>
      </w:r>
      <w:r>
        <w:rPr>
          <w:rtl w:val="true"/>
        </w:rPr>
        <w:t xml:space="preserve">, </w:t>
      </w:r>
      <w:r>
        <w:rPr>
          <w:rtl w:val="true"/>
        </w:rPr>
        <w:t>הכוללת הטלת מאסר לריצוי מאחורי סורג ובריח</w:t>
      </w:r>
      <w:r>
        <w:rPr>
          <w:rtl w:val="true"/>
        </w:rPr>
        <w:t xml:space="preserve">,  </w:t>
      </w:r>
      <w:r>
        <w:rPr>
          <w:rtl w:val="true"/>
        </w:rPr>
        <w:t>שיהיה בה כדי להרתיע לא רק את הנאשם הספציפי שאת דינו גוזר בית המשפט</w:t>
      </w:r>
      <w:r>
        <w:rPr>
          <w:rtl w:val="true"/>
        </w:rPr>
        <w:t xml:space="preserve">, </w:t>
      </w:r>
      <w:r>
        <w:rPr>
          <w:rtl w:val="true"/>
        </w:rPr>
        <w:t>אלא גם עבריינים פוטנציאליים</w:t>
      </w:r>
      <w:r>
        <w:rPr>
          <w:rtl w:val="true"/>
        </w:rPr>
        <w:t xml:space="preserve">. </w:t>
      </w:r>
      <w:r>
        <w:rPr>
          <w:rtl w:val="true"/>
        </w:rPr>
        <w:t>אם ידעו העבריינים בפוטנציה כי אם ייתפסו</w:t>
      </w:r>
      <w:r>
        <w:rPr>
          <w:rtl w:val="true"/>
        </w:rPr>
        <w:t xml:space="preserve">, </w:t>
      </w:r>
      <w:r>
        <w:rPr>
          <w:rtl w:val="true"/>
        </w:rPr>
        <w:t>יישפטו ויוטל עליהם עונש של מאסר בפועל</w:t>
      </w:r>
      <w:r>
        <w:rPr>
          <w:rtl w:val="true"/>
        </w:rPr>
        <w:t xml:space="preserve">, </w:t>
      </w:r>
      <w:r>
        <w:rPr>
          <w:rtl w:val="true"/>
        </w:rPr>
        <w:t>יהיה בכך כדי להרתיעם</w:t>
      </w:r>
      <w:r>
        <w:rPr>
          <w:rtl w:val="true"/>
        </w:rPr>
        <w:t xml:space="preserve">. </w:t>
      </w:r>
      <w:r>
        <w:rPr>
          <w:rtl w:val="true"/>
        </w:rPr>
        <w:t>אם לא את כולם</w:t>
      </w:r>
      <w:r>
        <w:rPr>
          <w:rtl w:val="true"/>
        </w:rPr>
        <w:t xml:space="preserve">, </w:t>
      </w:r>
      <w:r>
        <w:rPr>
          <w:rtl w:val="true"/>
        </w:rPr>
        <w:t>אז לפחות את חלקם</w:t>
      </w:r>
      <w:r>
        <w:rPr>
          <w:rtl w:val="true"/>
        </w:rPr>
        <w:t xml:space="preserve">. </w:t>
      </w:r>
      <w:r>
        <w:rPr>
          <w:rtl w:val="true"/>
        </w:rPr>
        <w:t>לכן אין מנוס מהטלת עונשי מאסר בפועל גם על אותם תושבי שטחים בלתי מורשים אשר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נכנסו לישראל אך ורק כדי למצוא עבודה ופרנסה להם ולבני משפחותיהם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במצב דברים זה ובשים לב להוראות סעיף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אני סבור כי מתחם העונש  ההולם בעבירה  לפי סעיף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,  </w:t>
      </w:r>
      <w:r>
        <w:rPr>
          <w:rtl w:val="true"/>
        </w:rPr>
        <w:t>כאשר לעבירה זו אינה נלווית כל עבירה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נע בין חודש מאסר בפועל עד ארבעה חודשי מאסר בפועל </w:t>
      </w:r>
      <w:r>
        <w:rPr>
          <w:rtl w:val="true"/>
        </w:rPr>
        <w:t xml:space="preserve">+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שנע בין חודשיים לשישה חודשים</w:t>
      </w:r>
      <w:r>
        <w:rPr>
          <w:rtl w:val="true"/>
        </w:rPr>
        <w:t xml:space="preserve">. </w:t>
      </w:r>
      <w:r>
        <w:rPr>
          <w:rtl w:val="true"/>
        </w:rPr>
        <w:t>בעניין זה דעתי שונה</w:t>
      </w:r>
      <w:r>
        <w:rPr>
          <w:rtl w:val="true"/>
        </w:rPr>
        <w:t xml:space="preserve">, </w:t>
      </w:r>
      <w:r>
        <w:rPr>
          <w:rtl w:val="true"/>
        </w:rPr>
        <w:t>עם כל הכבוד</w:t>
      </w:r>
      <w:r>
        <w:rPr>
          <w:rtl w:val="true"/>
        </w:rPr>
        <w:t xml:space="preserve">,  </w:t>
      </w:r>
      <w:r>
        <w:rPr>
          <w:rtl w:val="true"/>
        </w:rPr>
        <w:t>מדעתו של ביהמ</w:t>
      </w:r>
      <w:r>
        <w:rPr>
          <w:rtl w:val="true"/>
        </w:rPr>
        <w:t>"</w:t>
      </w:r>
      <w:r>
        <w:rPr>
          <w:rtl w:val="true"/>
        </w:rPr>
        <w:t>ש המחוזי בנצרת</w:t>
      </w:r>
      <w:r>
        <w:rPr>
          <w:rtl w:val="true"/>
        </w:rPr>
        <w:t xml:space="preserve">, </w:t>
      </w:r>
      <w:r>
        <w:rPr>
          <w:rtl w:val="true"/>
        </w:rPr>
        <w:t>כפי שהובעה 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41708-07-12</w:t>
        </w:r>
      </w:hyperlink>
      <w:r>
        <w:rPr>
          <w:rtl w:val="true"/>
        </w:rPr>
        <w:t xml:space="preserve">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  <w:r>
        <w:rPr>
          <w:rtl w:val="true"/>
        </w:rPr>
        <w:t>מאחר שבמקרה שבפניי ביצע הנאשם</w:t>
      </w:r>
      <w:r>
        <w:rPr>
          <w:rtl w:val="true"/>
        </w:rPr>
        <w:t xml:space="preserve">,  </w:t>
      </w:r>
      <w:r>
        <w:rPr>
          <w:rtl w:val="true"/>
        </w:rPr>
        <w:t xml:space="preserve">בנוסף לעבירה  לפי סעיף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גם עבירה לפי סעיף </w:t>
      </w:r>
      <w:r>
        <w:rPr/>
        <w:t>420</w:t>
      </w:r>
      <w:r>
        <w:rPr>
          <w:rtl w:val="true"/>
        </w:rPr>
        <w:t xml:space="preserve"> 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שהעונש המירבי שנקבע לה בחוק הוא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עבירה שבוצעה מתוך כוונה להקל עליו את ביצוע העבירה לפי סעיף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 הכניסה לישראל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שבנסיבות המקרה שבפניי מתחם העונש ההולם נע בין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 xml:space="preserve">+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שנע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עד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 xml:space="preserve">בהתאם להוראות סעיף 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 לגזור על הנאשם הספציפי</w:t>
      </w:r>
      <w:r>
        <w:rPr>
          <w:rtl w:val="true"/>
        </w:rPr>
        <w:t xml:space="preserve">, </w:t>
      </w:r>
      <w:r>
        <w:rPr>
          <w:rtl w:val="true"/>
        </w:rPr>
        <w:t>שאת דינו גוזר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עונש המצוי במתחם העונש ההולם אותו קבע בית המשפט </w:t>
      </w:r>
      <w:r>
        <w:rPr>
          <w:rtl w:val="true"/>
        </w:rPr>
        <w:t>(</w:t>
      </w:r>
      <w:r>
        <w:rPr>
          <w:rtl w:val="true"/>
        </w:rPr>
        <w:t xml:space="preserve">עם אפשרות לחרוג ממנו בהתקיים הנסיבות המפורטות בסעיפים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'), </w:t>
      </w:r>
      <w:r>
        <w:rPr>
          <w:rtl w:val="true"/>
        </w:rPr>
        <w:t>בהתחשב בנסיבות לחומרה ולקולא</w:t>
      </w:r>
      <w:r>
        <w:rPr>
          <w:rtl w:val="true"/>
        </w:rPr>
        <w:t xml:space="preserve">, </w:t>
      </w:r>
      <w:r>
        <w:rPr>
          <w:rtl w:val="true"/>
        </w:rPr>
        <w:t>שאינן קשורות  בביצוע העבירה</w:t>
      </w:r>
      <w:r>
        <w:rPr>
          <w:rtl w:val="true"/>
        </w:rPr>
        <w:t xml:space="preserve">, </w:t>
      </w:r>
      <w:r>
        <w:rPr>
          <w:rtl w:val="true"/>
        </w:rPr>
        <w:t>הקיימות במקרה  הספציפי ובנאשם הספציפי</w:t>
      </w:r>
      <w:r>
        <w:rPr>
          <w:rtl w:val="true"/>
        </w:rPr>
        <w:t xml:space="preserve">, </w:t>
      </w:r>
      <w:r>
        <w:rPr>
          <w:rtl w:val="true"/>
        </w:rPr>
        <w:t>שאת דינו גוזר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למקרה שבפניי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לאחר שנתתי את 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  אחד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לעובדה שמדובר בנאשם שבעבר כבר  הורשע פעמיים בביצוע  עבירה לפי סעיף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ופעם 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לפי סעיף </w:t>
      </w:r>
      <w:r>
        <w:rPr>
          <w:rFonts w:cs="Arial" w:ascii="Arial" w:hAnsi="Arial"/>
        </w:rPr>
        <w:t>441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ריישא לחוק  העונשין ולפי סעיף  </w:t>
      </w: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מצו בדבר הבטחון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1970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סעיף האוסר שהייה  בלילה בתחומי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היתר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הגם שהרשעתו האחרונה הינה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ולעובדה שמדובר  בנאשם שביצע את  העבירות ביודעו כי תוקפו של ההיתר  שניתן  לו פקע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9/9/12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 שמלמד  כי הפר את האמון שניתן בו עת הונפק לו האישור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היה נתפס בתחומי המדינה  בתקופה   </w:t>
      </w:r>
      <w:r>
        <w:rPr>
          <w:rFonts w:cs="Arial" w:ascii="Arial" w:hAnsi="Arial"/>
        </w:rPr>
        <w:t>3/9/12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9/9/12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להעמידו לדין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שכן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ההיתר שהיה לו באותה תקופה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היה רשאי לשהות בתחומי המדינה בין השעות </w:t>
      </w:r>
      <w:r>
        <w:rPr>
          <w:rFonts w:cs="Arial" w:ascii="Arial" w:hAnsi="Arial"/>
        </w:rPr>
        <w:t>05.00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19.00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והוא נתפס בסמוך לשעה </w:t>
      </w:r>
      <w:r>
        <w:rPr>
          <w:rFonts w:cs="Arial" w:ascii="Arial" w:hAnsi="Arial"/>
        </w:rPr>
        <w:t>21.30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ומצד שני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 שהעונש אותו ראוי להטיל על הנאשם צריך להיות נוטה לכיוון הרף העליון של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מוטל על הנאשם עונש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overflowPunct w:val="false"/>
        <w:autoSpaceDE w:val="false"/>
        <w:spacing w:lineRule="auto" w:line="360"/>
        <w:ind w:hanging="360" w:start="1440" w:end="0"/>
        <w:jc w:val="both"/>
        <w:rPr/>
      </w:pPr>
      <w:r>
        <w:rPr>
          <w:rtl w:val="true"/>
        </w:rPr>
        <w:t xml:space="preserve">מאסר  בפועל לתקופה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מיום מעצרו</w:t>
      </w:r>
      <w:r>
        <w:rPr>
          <w:rtl w:val="true"/>
        </w:rPr>
        <w:t xml:space="preserve">, </w:t>
      </w:r>
      <w:r>
        <w:rPr/>
        <w:t>4/10/12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/>
        <w:ind w:hanging="360" w:start="1440" w:end="0"/>
        <w:jc w:val="both"/>
        <w:rPr/>
      </w:pP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מהמאסר והתנאי הוא כי הנאשם לא יעבור בתקופה זו כל 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  ו</w:t>
      </w:r>
      <w:r>
        <w:rPr>
          <w:rtl w:val="true"/>
        </w:rPr>
        <w:t>/</w:t>
      </w:r>
      <w:r>
        <w:rPr>
          <w:rtl w:val="true"/>
        </w:rPr>
        <w:t>או כל עבירה מהעבירות המנויות בסימן ו</w:t>
      </w:r>
      <w:r>
        <w:rPr>
          <w:rtl w:val="true"/>
        </w:rPr>
        <w:t xml:space="preserve">' </w:t>
      </w:r>
      <w:r>
        <w:rPr>
          <w:rtl w:val="true"/>
        </w:rPr>
        <w:t>לפרק יא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ויורשע עליה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firstLine="36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/>
        <w:ind w:hanging="360" w:start="1440" w:end="0"/>
        <w:jc w:val="both"/>
        <w:rPr/>
      </w:pPr>
      <w:r>
        <w:rPr>
          <w:rtl w:val="true"/>
        </w:rPr>
        <w:t>אני מורה כי בתום ריצוי עונש המאסר  יגורש הנאשם אל מחוץ לתחומי 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הודע כי לצדדים 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ניתן והודע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אלטר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משה אלטר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12498-10-12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האני אבו שיחה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189_003.htm" TargetMode="External"/><Relationship Id="rId5" Type="http://schemas.openxmlformats.org/officeDocument/2006/relationships/hyperlink" Target="http://www.nevo.co.il/law_html/law01/189_003.htm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law_html/law01/189_003.htm" TargetMode="External"/><Relationship Id="rId9" Type="http://schemas.openxmlformats.org/officeDocument/2006/relationships/hyperlink" Target="http://www.nevo.co.il/links/psika/?NEWPROC=&#1506;&#1508;&amp;NEWPARTA=41708&amp;NEWPARTB=07&amp;NEWPARTC=12" TargetMode="External"/><Relationship Id="rId10" Type="http://schemas.openxmlformats.org/officeDocument/2006/relationships/hyperlink" Target="http://www.nevo.co.il/law_html/law01/189_003.htm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law_html/law01/073_002.htm" TargetMode="External"/><Relationship Id="rId13" Type="http://schemas.openxmlformats.org/officeDocument/2006/relationships/hyperlink" Target="http://www.nevo.co.il/law_html/law01/189_003.htm" TargetMode="External"/><Relationship Id="rId14" Type="http://schemas.openxmlformats.org/officeDocument/2006/relationships/hyperlink" Target="http://www.nevo.co.il/law_html/law01/189_003.htm" TargetMode="External"/><Relationship Id="rId15" Type="http://schemas.openxmlformats.org/officeDocument/2006/relationships/hyperlink" Target="http://www.nevo.co.il/law_html/law01/073_002.htm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2012-11-01T14:24:00Z</dcterms:created>
  <dc:creator> </dc:creator>
  <dc:description/>
  <cp:keywords/>
  <dc:language>en-IL</dc:language>
  <cp:lastModifiedBy>orit</cp:lastModifiedBy>
  <dcterms:modified xsi:type="dcterms:W3CDTF">2012-11-01T14:24:00Z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האני אבו שיחה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עכו</vt:lpwstr>
  </property>
  <property fmtid="{D5CDD505-2E9C-101B-9397-08002B2CF9AE}" pid="9" name="DATE">
    <vt:lpwstr>20121021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משה אלטר</vt:lpwstr>
  </property>
  <property fmtid="{D5CDD505-2E9C-101B-9397-08002B2CF9AE}" pid="13" name="LAWYER">
    <vt:lpwstr>גל ירדן;עבד פהום;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12498</vt:lpwstr>
  </property>
  <property fmtid="{D5CDD505-2E9C-101B-9397-08002B2CF9AE}" pid="20" name="NEWPARTB">
    <vt:lpwstr>10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380020121021</vt:lpwstr>
  </property>
  <property fmtid="{D5CDD505-2E9C-101B-9397-08002B2CF9AE}" pid="32" name="TYPE_N_DATE">
    <vt:lpwstr>38020121021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