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125-09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הצפון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פראירה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שאהר אטרש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רודינה פראירה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לאפי פראירה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 xml:space="preserve">: 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בשם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ערן ערבה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ab/>
        <w:t xml:space="preserve"> </w:t>
      </w:r>
      <w:r>
        <w:rPr>
          <w:b w:val="false"/>
          <w:b w:val="false"/>
          <w:bCs w:val="false"/>
          <w:u w:val="none"/>
          <w:rtl w:val="true"/>
        </w:rPr>
        <w:t>בשם הנאשמים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בעצמם וע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י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ראפי מסאלחה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12"/>
        <w:ind w:end="0"/>
        <w:jc w:val="center"/>
        <w:rPr>
          <w:rFonts w:ascii="Arial" w:hAnsi="Arial" w:eastAsia="David" w:cs="Arial"/>
          <w:sz w:val="28"/>
          <w:szCs w:val="28"/>
        </w:rPr>
      </w:pPr>
      <w:bookmarkStart w:id="7" w:name="PsakDin"/>
      <w:bookmarkEnd w:id="7"/>
      <w:r>
        <w:rPr>
          <w:rFonts w:ascii="Arial" w:hAnsi="Arial" w:eastAsia="David" w:cs="Arial"/>
          <w:sz w:val="28"/>
          <w:sz w:val="28"/>
          <w:szCs w:val="28"/>
          <w:rtl w:val="true"/>
        </w:rPr>
        <w:t>גזר דין</w:t>
      </w:r>
    </w:p>
    <w:p>
      <w:pPr>
        <w:pStyle w:val="12"/>
        <w:ind w:end="0"/>
        <w:jc w:val="both"/>
        <w:rPr>
          <w:rFonts w:ascii="David" w:hAnsi="David" w:eastAsia="David" w:cs="David"/>
          <w:sz w:val="28"/>
          <w:szCs w:val="28"/>
          <w:u w:val="none"/>
        </w:rPr>
      </w:pPr>
      <w:r>
        <w:rPr>
          <w:rFonts w:eastAsia="David" w:cs="David" w:ascii="David" w:hAnsi="David"/>
          <w:sz w:val="28"/>
          <w:szCs w:val="28"/>
          <w:u w:val="non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בעל ואישה</w:t>
      </w:r>
      <w:r>
        <w:rPr>
          <w:rtl w:val="true"/>
        </w:rPr>
        <w:t xml:space="preserve">, </w:t>
      </w:r>
      <w:r>
        <w:rPr>
          <w:rtl w:val="true"/>
        </w:rPr>
        <w:t>הודו במסגרת הסדר טיעון בכתב אישום מתוקן</w:t>
      </w:r>
      <w:r>
        <w:rPr>
          <w:rtl w:val="true"/>
        </w:rPr>
        <w:t xml:space="preserve">, </w:t>
      </w:r>
      <w:r>
        <w:rPr>
          <w:rtl w:val="true"/>
        </w:rPr>
        <w:t>שייחס להם עבירות של החזקת נשק</w:t>
      </w:r>
      <w:r>
        <w:rPr>
          <w:rtl w:val="true"/>
        </w:rPr>
        <w:t xml:space="preserve">. </w:t>
      </w:r>
      <w:r>
        <w:rPr>
          <w:rtl w:val="true"/>
        </w:rPr>
        <w:t>הצדדים לא הגיעו להסכמה לעניין העונש והוסכם</w:t>
      </w:r>
      <w:r>
        <w:rPr>
          <w:rtl w:val="true"/>
        </w:rPr>
        <w:t xml:space="preserve">, </w:t>
      </w:r>
      <w:r>
        <w:rPr>
          <w:rtl w:val="true"/>
        </w:rPr>
        <w:t>כי יטענו לעונש באופן חופשי לאחר הגשת תסקירים של שירות המבחן אודות שני 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 סמך הודאתם של הנאשמים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הם הורשעו בעבירות בנשק </w:t>
      </w:r>
      <w:r>
        <w:rPr>
          <w:rtl w:val="true"/>
        </w:rPr>
        <w:t>(</w:t>
      </w:r>
      <w:r>
        <w:rPr>
          <w:rtl w:val="true"/>
        </w:rPr>
        <w:t>החזקת נשק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r>
        <w:rPr>
          <w:rtl w:val="true"/>
        </w:rPr>
        <w:t>סיפא ל</w:t>
      </w:r>
      <w:hyperlink r:id="rId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");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הורשעה נאשמת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הנאשמת</w:t>
      </w:r>
      <w:r>
        <w:rPr>
          <w:rtl w:val="true"/>
        </w:rPr>
        <w:t xml:space="preserve">") </w:t>
      </w:r>
      <w:r>
        <w:rPr>
          <w:rtl w:val="true"/>
        </w:rPr>
        <w:t>בעבירות של 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לחוק העונשין והפרעה לשוטר בשעת מילוי תפקידו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 xml:space="preserve">ונאשם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") </w:t>
      </w:r>
      <w:r>
        <w:rPr>
          <w:rtl w:val="true"/>
        </w:rPr>
        <w:t xml:space="preserve">הורשע בעבירה נוספת של עבירות בנשק </w:t>
      </w:r>
      <w:r>
        <w:rPr>
          <w:rtl w:val="true"/>
        </w:rPr>
        <w:t>(</w:t>
      </w:r>
      <w:r>
        <w:rPr>
          <w:rtl w:val="true"/>
        </w:rPr>
        <w:t>החזקת נשק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 לחוק העונשין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התמונה העולה מעובדות כתב האישום המתוקן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20.12.09</w:t>
      </w:r>
      <w:r>
        <w:rPr>
          <w:rtl w:val="true"/>
        </w:rPr>
        <w:t xml:space="preserve">) </w:t>
      </w:r>
      <w:r>
        <w:rPr>
          <w:rtl w:val="true"/>
        </w:rPr>
        <w:t>הינה 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האישום הראשון</w:t>
      </w:r>
    </w:p>
    <w:p>
      <w:pPr>
        <w:pStyle w:val="Heading3"/>
        <w:ind w:hanging="0" w:start="0" w:end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5.9.06</w:t>
      </w:r>
      <w:r>
        <w:rPr>
          <w:rtl w:val="true"/>
        </w:rPr>
        <w:t xml:space="preserve"> </w:t>
      </w:r>
      <w:r>
        <w:rPr>
          <w:rtl w:val="true"/>
        </w:rPr>
        <w:t xml:space="preserve">נפרץ בית בעפולה ונגנבה ממנו כספת ובה אקדח מדגם יריחו קצר ומחסנית שהכילה כדורים מסוג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"). </w:t>
      </w:r>
    </w:p>
    <w:p>
      <w:pPr>
        <w:pStyle w:val="BodyTextInden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עובר ליום </w:t>
      </w:r>
      <w:r>
        <w:rPr/>
        <w:t>9.6.09</w:t>
      </w:r>
      <w:r>
        <w:rPr>
          <w:rtl w:val="true"/>
        </w:rPr>
        <w:t xml:space="preserve">, </w:t>
      </w:r>
      <w:r>
        <w:rPr>
          <w:rtl w:val="true"/>
        </w:rPr>
        <w:t>במועד שאינו ידוע למאשימה</w:t>
      </w:r>
      <w:r>
        <w:rPr>
          <w:rtl w:val="true"/>
        </w:rPr>
        <w:t xml:space="preserve">, </w:t>
      </w:r>
      <w:r>
        <w:rPr>
          <w:rtl w:val="true"/>
        </w:rPr>
        <w:t>הצטייד הנאשם בנשק וזאת ללא היתר כדין והטמינו בביתו במקום מסתור</w:t>
      </w:r>
      <w:r>
        <w:rPr>
          <w:rtl w:val="true"/>
        </w:rPr>
        <w:t xml:space="preserve">, </w:t>
      </w:r>
      <w:r>
        <w:rPr>
          <w:rtl w:val="true"/>
        </w:rPr>
        <w:t>בידיעת הנאשמת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9.6.09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הגיעו שוטרים אל ביתם של הנאשמים במטרה לבצע בו חיפוש</w:t>
      </w:r>
      <w:r>
        <w:rPr>
          <w:rtl w:val="true"/>
        </w:rPr>
        <w:t xml:space="preserve">; </w:t>
      </w:r>
      <w:r>
        <w:rPr>
          <w:rtl w:val="true"/>
        </w:rPr>
        <w:t>משהבחינה הנאשמת בשוטרים העומדים בפתח הבית</w:t>
      </w:r>
      <w:r>
        <w:rPr>
          <w:rtl w:val="true"/>
        </w:rPr>
        <w:t xml:space="preserve">, </w:t>
      </w:r>
      <w:r>
        <w:rPr>
          <w:rtl w:val="true"/>
        </w:rPr>
        <w:t>נזעקה אל מקום המסתור</w:t>
      </w:r>
      <w:r>
        <w:rPr>
          <w:rtl w:val="true"/>
        </w:rPr>
        <w:t xml:space="preserve">, </w:t>
      </w:r>
      <w:r>
        <w:rPr>
          <w:rtl w:val="true"/>
        </w:rPr>
        <w:t>נטלה את הנשק עמה והחביאהו מתחת לבגדיה התחתונים במטרה לסכל את מטרת החיפוש</w:t>
      </w:r>
      <w:r>
        <w:rPr>
          <w:rtl w:val="true"/>
        </w:rPr>
        <w:t xml:space="preserve">; </w:t>
      </w:r>
      <w:r>
        <w:rPr>
          <w:rtl w:val="true"/>
        </w:rPr>
        <w:t>בשל חשדם של השוטרים נערך חיפוש קפדני על גופה של הנאשמת והנשק נמצא כשהוא מוסתר מתחת לבגדיה התחתונים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במעשיהם אלה</w:t>
      </w:r>
      <w:r>
        <w:rPr>
          <w:rtl w:val="true"/>
        </w:rPr>
        <w:t xml:space="preserve">, </w:t>
      </w:r>
      <w:r>
        <w:rPr>
          <w:rtl w:val="true"/>
        </w:rPr>
        <w:t>החזיקו הנאשמים נשק בלא רשות על פי דין להחזקתם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שיבשה הנאשמת הליכי משפט בהחבאת הנשק מתחת לבגדיה במטרה להכשיל הליך שיפוטי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הפריעה הנאשמת לשוטרים במהלך מילוי תפקידם בכוונה להפריע להם או להכשילם בכך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האישום השני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עובר ליום </w:t>
      </w:r>
      <w:r>
        <w:rPr/>
        <w:t>7.4.03</w:t>
      </w:r>
      <w:r>
        <w:rPr>
          <w:rtl w:val="true"/>
        </w:rPr>
        <w:t xml:space="preserve">, </w:t>
      </w:r>
      <w:r>
        <w:rPr>
          <w:rtl w:val="true"/>
        </w:rPr>
        <w:t>במועד שאינו ידוע למאשימה</w:t>
      </w:r>
      <w:r>
        <w:rPr>
          <w:rtl w:val="true"/>
        </w:rPr>
        <w:t xml:space="preserve">, </w:t>
      </w:r>
      <w:r>
        <w:rPr>
          <w:rtl w:val="true"/>
        </w:rPr>
        <w:t xml:space="preserve">הצטייד הנאשם בתחמושת הכוללת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כדורי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 </w:t>
      </w:r>
      <w:r>
        <w:rPr>
          <w:rtl w:val="true"/>
        </w:rPr>
        <w:t>וזאת ללא היתר 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7.4.03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11:00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הגיעו שוטרים אל ביתם של הנאשמים במטרה לבצע בו חיפוש במהלכו מצאו את 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במעשיו אלה</w:t>
      </w:r>
      <w:r>
        <w:rPr>
          <w:rtl w:val="true"/>
        </w:rPr>
        <w:t xml:space="preserve">, </w:t>
      </w:r>
      <w:r>
        <w:rPr>
          <w:rtl w:val="true"/>
        </w:rPr>
        <w:t>החזיק הנאשם בנשק מסוג תחמושת שבכוחו להמית או לגרום לנזק וזאת בלא רשות על פי דין להחזקתו</w:t>
      </w:r>
      <w:r>
        <w:rPr>
          <w:rtl w:val="true"/>
        </w:rPr>
        <w:t xml:space="preserve">. </w:t>
      </w:r>
    </w:p>
    <w:p>
      <w:pPr>
        <w:pStyle w:val="Heading5"/>
        <w:ind w:hanging="0" w:start="0" w:end="0"/>
        <w:jc w:val="start"/>
        <w:rPr>
          <w:i w:val="false"/>
          <w:i w:val="false"/>
          <w:iCs w:val="false"/>
          <w:u w:val="single"/>
        </w:rPr>
      </w:pPr>
      <w:r>
        <w:rPr>
          <w:i w:val="false"/>
          <w:i w:val="false"/>
          <w:iCs w:val="false"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i/>
          <w:i/>
          <w:iCs/>
          <w:u w:val="single"/>
        </w:rPr>
      </w:pPr>
      <w:r>
        <w:rPr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מתסקיר שירות המבחן בעניינה עולה</w:t>
      </w:r>
      <w:r>
        <w:rPr>
          <w:rtl w:val="true"/>
        </w:rPr>
        <w:t xml:space="preserve">, </w:t>
      </w:r>
      <w:r>
        <w:rPr>
          <w:rtl w:val="true"/>
        </w:rPr>
        <w:t xml:space="preserve">כי הנאשמת הינה בת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נשואה לנאשם ולהם שני ילדים</w:t>
      </w:r>
      <w:r>
        <w:rPr>
          <w:rtl w:val="true"/>
        </w:rPr>
        <w:t xml:space="preserve">. </w:t>
      </w:r>
      <w:r>
        <w:rPr>
          <w:rtl w:val="true"/>
        </w:rPr>
        <w:t>היא בעלת תעודת בגרות מלאה</w:t>
      </w:r>
      <w:r>
        <w:rPr>
          <w:rtl w:val="true"/>
        </w:rPr>
        <w:t xml:space="preserve">, </w:t>
      </w:r>
      <w:r>
        <w:rPr>
          <w:rtl w:val="true"/>
        </w:rPr>
        <w:t>אשר רצתה להמשיך לימודים אקדמאיים אך בשל המצב הכלכלי הקשה של משפחתה נאלצה לעבוד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לגבי העבירות בהן הורשעה</w:t>
      </w:r>
      <w:r>
        <w:rPr>
          <w:rtl w:val="true"/>
        </w:rPr>
        <w:t xml:space="preserve">, </w:t>
      </w:r>
      <w:r>
        <w:rPr>
          <w:rtl w:val="true"/>
        </w:rPr>
        <w:t>צויין בתסקיר</w:t>
      </w:r>
      <w:r>
        <w:rPr>
          <w:rtl w:val="true"/>
        </w:rPr>
        <w:t xml:space="preserve">, </w:t>
      </w:r>
      <w:r>
        <w:rPr>
          <w:rtl w:val="true"/>
        </w:rPr>
        <w:t>כי הנאשמת לא התחברה לחלק מהעובדות המצויינות בכתב האישום</w:t>
      </w:r>
      <w:r>
        <w:rPr>
          <w:rtl w:val="true"/>
        </w:rPr>
        <w:t xml:space="preserve">; </w:t>
      </w:r>
      <w:r>
        <w:rPr>
          <w:rtl w:val="true"/>
        </w:rPr>
        <w:t>היא חששה להתנגד להסתרת האקדח ולעמוד מול בעלה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 המבחן התרשמה</w:t>
      </w:r>
      <w:r>
        <w:rPr>
          <w:rtl w:val="true"/>
        </w:rPr>
        <w:t xml:space="preserve">, </w:t>
      </w:r>
      <w:r>
        <w:rPr>
          <w:rtl w:val="true"/>
        </w:rPr>
        <w:t>שבמעצרה ערכה הנאשמת חשבון נפש והיא מבינה את חומרת התנהגותה</w:t>
      </w:r>
      <w:r>
        <w:rPr>
          <w:rtl w:val="true"/>
        </w:rPr>
        <w:t xml:space="preserve">, </w:t>
      </w:r>
      <w:r>
        <w:rPr>
          <w:rtl w:val="true"/>
        </w:rPr>
        <w:t>אך כיום אינה פנויה לקשר טיפולי בשל טיפולי פוריות</w:t>
      </w:r>
      <w:r>
        <w:rPr>
          <w:rtl w:val="true"/>
        </w:rPr>
        <w:t xml:space="preserve">. </w:t>
      </w:r>
      <w:r>
        <w:rPr>
          <w:rtl w:val="true"/>
        </w:rPr>
        <w:t>קצינת המבחן ממליצה על ענישה מציבת גבולות בדמות של</w:t>
      </w:r>
      <w:r>
        <w:rPr>
          <w:rtl w:val="true"/>
        </w:rPr>
        <w:t>"</w:t>
      </w:r>
      <w:r>
        <w:rPr>
          <w:rtl w:val="true"/>
        </w:rPr>
        <w:t xml:space="preserve">צ בהיקף של </w:t>
      </w:r>
      <w:r>
        <w:rPr/>
        <w:t>220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אשר ימחיש את חומרת התנהגותה ותוצאותיה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מתסקיר שירות המבחן אודות הנאשם עולה</w:t>
      </w:r>
      <w:r>
        <w:rPr>
          <w:rtl w:val="true"/>
        </w:rPr>
        <w:t xml:space="preserve">, </w:t>
      </w:r>
      <w:r>
        <w:rPr>
          <w:rtl w:val="true"/>
        </w:rPr>
        <w:t xml:space="preserve">כי המדובר בנאשם בן </w:t>
      </w:r>
      <w:r>
        <w:rPr/>
        <w:t>34</w:t>
      </w:r>
      <w:r>
        <w:rPr>
          <w:rtl w:val="true"/>
        </w:rPr>
        <w:t xml:space="preserve">, </w:t>
      </w:r>
      <w:r>
        <w:rPr>
          <w:rtl w:val="true"/>
        </w:rPr>
        <w:t>אב לשניים</w:t>
      </w:r>
      <w:r>
        <w:rPr>
          <w:rtl w:val="true"/>
        </w:rPr>
        <w:t xml:space="preserve">; </w:t>
      </w:r>
      <w:r>
        <w:rPr>
          <w:rtl w:val="true"/>
        </w:rPr>
        <w:t>הנאשמים נמצאים בשלב זה בעיצומם של טיפולי פוריות</w:t>
      </w:r>
      <w:r>
        <w:rPr>
          <w:rtl w:val="true"/>
        </w:rPr>
        <w:t xml:space="preserve">. </w:t>
      </w:r>
      <w:r>
        <w:rPr>
          <w:rtl w:val="true"/>
        </w:rPr>
        <w:t>הנאשם עזב את לימודיו במהלך כיתה י</w:t>
      </w:r>
      <w:r>
        <w:rPr>
          <w:rtl w:val="true"/>
        </w:rPr>
        <w:t>"</w:t>
      </w:r>
      <w:r>
        <w:rPr>
          <w:rtl w:val="true"/>
        </w:rPr>
        <w:t>א על רקע מצוקה כלכלית ויצא לשוק העבודה</w:t>
      </w:r>
      <w:r>
        <w:rPr>
          <w:rtl w:val="true"/>
        </w:rPr>
        <w:t xml:space="preserve">. </w:t>
      </w:r>
      <w:r>
        <w:rPr>
          <w:rtl w:val="true"/>
        </w:rPr>
        <w:t>בגיל הגיוס</w:t>
      </w:r>
      <w:r>
        <w:rPr>
          <w:rtl w:val="true"/>
        </w:rPr>
        <w:t xml:space="preserve">, </w:t>
      </w:r>
      <w:r>
        <w:rPr>
          <w:rtl w:val="true"/>
        </w:rPr>
        <w:t>ביקש הנאשם להתנדב לצה</w:t>
      </w:r>
      <w:r>
        <w:rPr>
          <w:rtl w:val="true"/>
        </w:rPr>
        <w:t>"</w:t>
      </w:r>
      <w:r>
        <w:rPr>
          <w:rtl w:val="true"/>
        </w:rPr>
        <w:t>ל אך נדחה בשל נישואי אחותו לתושב טול</w:t>
      </w:r>
      <w:r>
        <w:rPr>
          <w:rtl w:val="true"/>
        </w:rPr>
        <w:t>-</w:t>
      </w:r>
      <w:r>
        <w:rPr>
          <w:rtl w:val="true"/>
        </w:rPr>
        <w:t>כרם</w:t>
      </w:r>
      <w:r>
        <w:rPr>
          <w:rtl w:val="true"/>
        </w:rPr>
        <w:t xml:space="preserve">. </w:t>
      </w:r>
      <w:r>
        <w:rPr>
          <w:rtl w:val="true"/>
        </w:rPr>
        <w:t>הנאשם עסק בעיקר באספקת כוח אדם לעבודות חקלאיות</w:t>
      </w:r>
      <w:r>
        <w:rPr>
          <w:rtl w:val="true"/>
        </w:rPr>
        <w:t xml:space="preserve">, </w:t>
      </w:r>
      <w:r>
        <w:rPr>
          <w:rtl w:val="true"/>
        </w:rPr>
        <w:t>ולאחר פטירת אחיו בתאונת דרכים לפני כשנתיים</w:t>
      </w:r>
      <w:r>
        <w:rPr>
          <w:rtl w:val="true"/>
        </w:rPr>
        <w:t xml:space="preserve">, </w:t>
      </w:r>
      <w:r>
        <w:rPr>
          <w:rtl w:val="true"/>
        </w:rPr>
        <w:t xml:space="preserve">לקח על עצמו את ניהול העסק של האח </w:t>
      </w:r>
      <w:r>
        <w:rPr>
          <w:rtl w:val="true"/>
        </w:rPr>
        <w:t>(</w:t>
      </w:r>
      <w:r>
        <w:rPr>
          <w:rtl w:val="true"/>
        </w:rPr>
        <w:t>קבלן כ</w:t>
      </w:r>
      <w:r>
        <w:rPr>
          <w:rtl w:val="true"/>
        </w:rPr>
        <w:t>"</w:t>
      </w:r>
      <w:r>
        <w:rPr>
          <w:rtl w:val="true"/>
        </w:rPr>
        <w:t>א לבתי הארחה בצפון</w:t>
      </w:r>
      <w:r>
        <w:rPr>
          <w:rtl w:val="true"/>
        </w:rPr>
        <w:t xml:space="preserve">), </w:t>
      </w:r>
      <w:r>
        <w:rPr>
          <w:rtl w:val="true"/>
        </w:rPr>
        <w:t>אך הוא כשל בניהול העסק וצבר חובות גדולים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 התקשה לקבל אחריות מלאה למיוחס לו</w:t>
      </w:r>
      <w:r>
        <w:rPr>
          <w:rtl w:val="true"/>
        </w:rPr>
        <w:t xml:space="preserve">. </w:t>
      </w:r>
      <w:r>
        <w:rPr>
          <w:rtl w:val="true"/>
        </w:rPr>
        <w:t>להערכת קצינת המבחן</w:t>
      </w:r>
      <w:r>
        <w:rPr>
          <w:rtl w:val="true"/>
        </w:rPr>
        <w:t xml:space="preserve">, </w:t>
      </w:r>
      <w:r>
        <w:rPr>
          <w:rtl w:val="true"/>
        </w:rPr>
        <w:t>מעורבותו של הנאשם בעבירות הנשק מבטאת את הצורך לבטא גבריות ובכך לשפר את דימויו העצמי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 המבחן התרשמה</w:t>
      </w:r>
      <w:r>
        <w:rPr>
          <w:rtl w:val="true"/>
        </w:rPr>
        <w:t xml:space="preserve">, </w:t>
      </w:r>
      <w:r>
        <w:rPr>
          <w:rtl w:val="true"/>
        </w:rPr>
        <w:t>כי הנאשם לא יהיה פנוי להשתלב</w:t>
      </w:r>
      <w:r>
        <w:rPr>
          <w:rtl w:val="true"/>
        </w:rPr>
        <w:t xml:space="preserve">,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בתהליך טיפולי בשל מאמצי בני הזוג להיכנס להריון</w:t>
      </w:r>
      <w:r>
        <w:rPr>
          <w:rtl w:val="true"/>
        </w:rPr>
        <w:t xml:space="preserve">, </w:t>
      </w:r>
      <w:r>
        <w:rPr>
          <w:rtl w:val="true"/>
        </w:rPr>
        <w:t>ולכן היא לא באה בהמלצה טיפולית לגביו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קצינת המבחן ממליצה</w:t>
      </w:r>
      <w:r>
        <w:rPr>
          <w:rtl w:val="true"/>
        </w:rPr>
        <w:t xml:space="preserve">, </w:t>
      </w:r>
      <w:r>
        <w:rPr>
          <w:rtl w:val="true"/>
        </w:rPr>
        <w:t>כמענה גמולי למעשיו</w:t>
      </w:r>
      <w:r>
        <w:rPr>
          <w:rtl w:val="true"/>
        </w:rPr>
        <w:t xml:space="preserve">, </w:t>
      </w:r>
      <w:r>
        <w:rPr>
          <w:rtl w:val="true"/>
        </w:rPr>
        <w:t>להטיל על הנאשם תקופת מאסר קצרה שתרוצה בעבודות שירות ולהימנע מהטלת קנס כספי בשל מצבו הכלכלי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Heading5"/>
        <w:ind w:hanging="0" w:start="0" w:end="0"/>
        <w:jc w:val="start"/>
        <w:rPr>
          <w:i w:val="false"/>
          <w:i w:val="false"/>
          <w:iCs w:val="false"/>
          <w:u w:val="single"/>
        </w:rPr>
      </w:pPr>
      <w:r>
        <w:rPr>
          <w:i w:val="false"/>
          <w:i w:val="false"/>
          <w:iCs w:val="false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  <w:rtl w:val="true"/>
        </w:rPr>
      </w:r>
    </w:p>
    <w:p>
      <w:pPr>
        <w:pStyle w:val="BodyTextIndent2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ביקשה לגזור על כל אחד משני הנאשמים מאסר בפועל מאחורי סורג ובריח לתקופה ארוכה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ציינה בטיעוניה את חומרת העבירות בנשק בהדגישה כי הנאשם הצטייד בנשק ללא היתר כדין ולא גילה מה מקור הנשק וסיבת הצטיידותו בנשק גנוב</w:t>
      </w:r>
      <w:r>
        <w:rPr>
          <w:rtl w:val="true"/>
        </w:rPr>
        <w:t xml:space="preserve">, </w:t>
      </w:r>
      <w:r>
        <w:rPr>
          <w:rtl w:val="true"/>
        </w:rPr>
        <w:t>ואילו הנאשמת החביאה את הנשק מתחת לבגדיה התחתונים במטרה לסכל את מציאתו</w:t>
      </w:r>
      <w:r>
        <w:rPr>
          <w:rtl w:val="true"/>
        </w:rPr>
        <w:t xml:space="preserve">. </w:t>
      </w:r>
      <w:r>
        <w:rPr>
          <w:rtl w:val="true"/>
        </w:rPr>
        <w:t>האישום השני</w:t>
      </w:r>
      <w:r>
        <w:rPr>
          <w:rtl w:val="true"/>
        </w:rPr>
        <w:t xml:space="preserve">, </w:t>
      </w:r>
      <w:r>
        <w:rPr>
          <w:rtl w:val="true"/>
        </w:rPr>
        <w:t>המתייחס לנאשם בלבד</w:t>
      </w:r>
      <w:r>
        <w:rPr>
          <w:rtl w:val="true"/>
        </w:rPr>
        <w:t xml:space="preserve">, </w:t>
      </w:r>
      <w:r>
        <w:rPr>
          <w:rtl w:val="true"/>
        </w:rPr>
        <w:t>דומה במהותו לאישום הראשון</w:t>
      </w:r>
      <w:r>
        <w:rPr>
          <w:rtl w:val="true"/>
        </w:rPr>
        <w:t xml:space="preserve">, </w:t>
      </w:r>
      <w:r>
        <w:rPr>
          <w:rtl w:val="true"/>
        </w:rPr>
        <w:t>ללמדך כי אין המדובר במעידה 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ביקשה לדחות את המלצות שירות המבחן לגבי שני הנאשמים</w:t>
      </w:r>
      <w:r>
        <w:rPr>
          <w:rtl w:val="true"/>
        </w:rPr>
        <w:t xml:space="preserve">, </w:t>
      </w:r>
      <w:r>
        <w:rPr>
          <w:rtl w:val="true"/>
        </w:rPr>
        <w:t>שאינם מבינים את חומרת מעשיהם</w:t>
      </w:r>
      <w:r>
        <w:rPr>
          <w:rtl w:val="true"/>
        </w:rPr>
        <w:t xml:space="preserve">, </w:t>
      </w:r>
      <w:r>
        <w:rPr>
          <w:rtl w:val="true"/>
        </w:rPr>
        <w:t>אינם לוקחים אחריות מלאה ונמצאו כבלתי מתאימים לטיפול</w:t>
      </w:r>
      <w:r>
        <w:rPr>
          <w:rtl w:val="true"/>
        </w:rPr>
        <w:t xml:space="preserve">;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העונש שמוצע סוטה לקולא באופן קיצוני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הוסיפה וטענה</w:t>
      </w:r>
      <w:r>
        <w:rPr>
          <w:rtl w:val="true"/>
        </w:rPr>
        <w:t xml:space="preserve">, </w:t>
      </w:r>
      <w:r>
        <w:rPr>
          <w:rtl w:val="true"/>
        </w:rPr>
        <w:t>כי גרסתם של הנאשמים</w:t>
      </w:r>
      <w:r>
        <w:rPr>
          <w:rtl w:val="true"/>
        </w:rPr>
        <w:t xml:space="preserve">, </w:t>
      </w:r>
      <w:r>
        <w:rPr>
          <w:rtl w:val="true"/>
        </w:rPr>
        <w:t>כי מצאו את האקדח עם התחמושת במטע בשדה פתוח</w:t>
      </w:r>
      <w:r>
        <w:rPr>
          <w:rtl w:val="true"/>
        </w:rPr>
        <w:t xml:space="preserve">, </w:t>
      </w:r>
      <w:r>
        <w:rPr>
          <w:rtl w:val="true"/>
        </w:rPr>
        <w:t>היא גרסה תלושה מן המציאות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הגישה אסופה של פסקי דין וגזרי דין ועמדה בהרחבה על רמת הענישה המקובלת והנוהגת בימינו בעבירות בנשק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במקרים של החזקת אקדח ותחמושת בלבד</w:t>
      </w:r>
      <w:r>
        <w:rPr>
          <w:rtl w:val="true"/>
        </w:rPr>
        <w:t xml:space="preserve">, </w:t>
      </w:r>
      <w:r>
        <w:rPr>
          <w:rtl w:val="true"/>
        </w:rPr>
        <w:t>ללא נשיאה או עבירות נלוות</w:t>
      </w:r>
      <w:r>
        <w:rPr>
          <w:rtl w:val="true"/>
        </w:rPr>
        <w:t xml:space="preserve">, </w:t>
      </w:r>
      <w:r>
        <w:rPr>
          <w:rtl w:val="true"/>
        </w:rPr>
        <w:t>גם כאשר המדובר בנאשמים ללא עבר פלילי ונורמטיביים לכאורה</w:t>
      </w:r>
      <w:r>
        <w:rPr>
          <w:rtl w:val="true"/>
        </w:rPr>
        <w:t xml:space="preserve">, </w:t>
      </w:r>
      <w:r>
        <w:rPr>
          <w:rtl w:val="true"/>
        </w:rPr>
        <w:t>העונש הראוי לא יפחת מששה חודשי מאסר שירוצו מאחורי סורג 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בית המשפט העליון עמד על הצורך בהחמרה בסוג זה של עבירות</w:t>
      </w:r>
      <w:r>
        <w:rPr>
          <w:rtl w:val="true"/>
        </w:rPr>
        <w:t xml:space="preserve">, </w:t>
      </w:r>
      <w:r>
        <w:rPr>
          <w:rtl w:val="true"/>
        </w:rPr>
        <w:t>כאשר עמד על הסכנה המוחשית המתקיימת מעבירות של החזקת נשק והעדיף את האינטרס הציבורי והצורך בהרתעה כללית על שיקולי הענישה האחרים</w:t>
      </w:r>
      <w:r>
        <w:rPr>
          <w:rtl w:val="true"/>
        </w:rPr>
        <w:t xml:space="preserve">. </w:t>
      </w:r>
      <w:r>
        <w:rPr>
          <w:rtl w:val="true"/>
        </w:rPr>
        <w:t>החזקה של כלי נשק על ידי מי שאינו מורשה לכך</w:t>
      </w:r>
      <w:r>
        <w:rPr>
          <w:rtl w:val="true"/>
        </w:rPr>
        <w:t xml:space="preserve">, </w:t>
      </w:r>
      <w:r>
        <w:rPr>
          <w:rtl w:val="true"/>
        </w:rPr>
        <w:t>מעידה על פוטנציאל להוביל להסלמה חמורה ולתוצאות קשות</w:t>
      </w:r>
      <w:r>
        <w:rPr>
          <w:rtl w:val="true"/>
        </w:rPr>
        <w:t xml:space="preserve">, </w:t>
      </w:r>
      <w:r>
        <w:rPr>
          <w:rtl w:val="true"/>
        </w:rPr>
        <w:t>הגם שנשק המוחזק שלא כדין מוצא את דרכו לעתים קרובות לידיים עוינות ולעתים נעשה בו שימוש שלא כדין</w:t>
      </w:r>
      <w:r>
        <w:rPr>
          <w:rtl w:val="true"/>
        </w:rPr>
        <w:t xml:space="preserve">; </w:t>
      </w:r>
      <w:r>
        <w:rPr>
          <w:rtl w:val="true"/>
        </w:rPr>
        <w:t>כדי להילחם בכל אלה</w:t>
      </w:r>
      <w:r>
        <w:rPr>
          <w:rtl w:val="true"/>
        </w:rPr>
        <w:t xml:space="preserve">, </w:t>
      </w:r>
      <w:r>
        <w:rPr>
          <w:rtl w:val="true"/>
        </w:rPr>
        <w:t>חייב העונש לבטא את סלידת החברה ועמדתה הנחרצת שלא להשלים עם עבריינות של החזקת כלי נשק שלא 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 ביקש לאמץ את מסקנות התסקירים ולהשית על הנאשמים את העונשים המומלצים שם</w:t>
      </w:r>
      <w:r>
        <w:rPr>
          <w:rtl w:val="true"/>
        </w:rPr>
        <w:t xml:space="preserve">, </w:t>
      </w:r>
      <w:r>
        <w:rPr>
          <w:rtl w:val="true"/>
        </w:rPr>
        <w:t>בהיותם עונשים שדרים בכפיפה אחת עם מדיניות הענישה המקובלת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 ב</w:t>
      </w:r>
      <w:r>
        <w:rPr>
          <w:rtl w:val="true"/>
        </w:rPr>
        <w:t>"</w:t>
      </w:r>
      <w:r>
        <w:rPr>
          <w:rtl w:val="true"/>
        </w:rPr>
        <w:t>כ הנאשמים</w:t>
      </w:r>
      <w:r>
        <w:rPr>
          <w:rtl w:val="true"/>
        </w:rPr>
        <w:t xml:space="preserve">, </w:t>
      </w:r>
      <w:r>
        <w:rPr>
          <w:rtl w:val="true"/>
        </w:rPr>
        <w:t>האישום השני התיישן</w:t>
      </w:r>
      <w:r>
        <w:rPr>
          <w:rtl w:val="true"/>
        </w:rPr>
        <w:t xml:space="preserve">; </w:t>
      </w:r>
      <w:r>
        <w:rPr>
          <w:rtl w:val="true"/>
        </w:rPr>
        <w:t xml:space="preserve">מדובר בעבירה מסוג עוון שעברו למעלה מחמש שנים מיום ביצועה </w:t>
      </w:r>
      <w:r>
        <w:rPr>
          <w:rtl w:val="true"/>
        </w:rPr>
        <w:t>(</w:t>
      </w:r>
      <w:r>
        <w:rPr/>
        <w:t>7.4.03</w:t>
      </w:r>
      <w:r>
        <w:rPr>
          <w:rtl w:val="true"/>
        </w:rPr>
        <w:t xml:space="preserve">).  </w:t>
      </w:r>
      <w:r>
        <w:rPr>
          <w:rtl w:val="true"/>
        </w:rPr>
        <w:t>יאמר מיד</w:t>
      </w:r>
      <w:r>
        <w:rPr>
          <w:rtl w:val="true"/>
        </w:rPr>
        <w:t xml:space="preserve">, </w:t>
      </w:r>
      <w:r>
        <w:rPr>
          <w:rtl w:val="true"/>
        </w:rPr>
        <w:t>כי אין בידי לקבל את הטענה</w:t>
      </w:r>
      <w:r>
        <w:rPr>
          <w:rtl w:val="true"/>
        </w:rPr>
        <w:t xml:space="preserve">. </w:t>
      </w:r>
      <w:r>
        <w:rPr>
          <w:rtl w:val="true"/>
        </w:rPr>
        <w:t>הנאשם הודה באישום השני במסגרת הסדר הטיעון</w:t>
      </w:r>
      <w:r>
        <w:rPr>
          <w:rtl w:val="true"/>
        </w:rPr>
        <w:t xml:space="preserve">, </w:t>
      </w:r>
      <w:r>
        <w:rPr>
          <w:rtl w:val="true"/>
        </w:rPr>
        <w:t>הורשע על סמך הודאתו ויש לראות בהתנהלותו כמי שוויתר על העלאת טענת ההתיישנות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הנאשם נעצר ונחקר במשטרה ומסר את גרסתו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הוא מצא את הנשק בין השיחים ליד ביתו</w:t>
      </w:r>
      <w:r>
        <w:rPr>
          <w:rtl w:val="true"/>
        </w:rPr>
        <w:t xml:space="preserve">. </w:t>
      </w:r>
      <w:r>
        <w:rPr>
          <w:rtl w:val="true"/>
        </w:rPr>
        <w:t>המשטרה לא הסתפקה בכך אלא הביאה את הנאשם להובלה והצבעה והנאשם הצביע על המקום שבו מצא את האקדח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  הוסיף וטען</w:t>
      </w:r>
      <w:r>
        <w:rPr>
          <w:rtl w:val="true"/>
        </w:rPr>
        <w:t xml:space="preserve">, </w:t>
      </w:r>
      <w:r>
        <w:rPr>
          <w:rtl w:val="true"/>
        </w:rPr>
        <w:t>כי לא הובאה כל ראיה לסתור את גרסת הנאשם</w:t>
      </w:r>
      <w:r>
        <w:rPr>
          <w:rtl w:val="true"/>
        </w:rPr>
        <w:t xml:space="preserve">; </w:t>
      </w:r>
      <w:r>
        <w:rPr>
          <w:rtl w:val="true"/>
        </w:rPr>
        <w:t>לשיטת הסניגור</w:t>
      </w:r>
      <w:r>
        <w:rPr>
          <w:rtl w:val="true"/>
        </w:rPr>
        <w:t xml:space="preserve">, </w:t>
      </w:r>
      <w:r>
        <w:rPr>
          <w:rtl w:val="true"/>
        </w:rPr>
        <w:t>הנאשם גילה את מקור הנשק ולא כפי 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 לנאשמת</w:t>
      </w:r>
      <w:r>
        <w:rPr>
          <w:rtl w:val="true"/>
        </w:rPr>
        <w:t xml:space="preserve">, </w:t>
      </w:r>
      <w:r>
        <w:rPr>
          <w:rtl w:val="true"/>
        </w:rPr>
        <w:t>נטען כי מדובר בהחזקה רגעית לפרק זמן קצר ביותר</w:t>
      </w:r>
      <w:r>
        <w:rPr>
          <w:rtl w:val="true"/>
        </w:rPr>
        <w:t xml:space="preserve">, </w:t>
      </w:r>
      <w:r>
        <w:rPr>
          <w:rtl w:val="true"/>
        </w:rPr>
        <w:t>דבר שחייב למצוא ביטוי במישור העונשי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 התייחס בהרחבה לרמת הענישה הנוהגת והמקובלת בעבירות של החזקת נשק</w:t>
      </w:r>
      <w:r>
        <w:rPr>
          <w:rtl w:val="true"/>
        </w:rPr>
        <w:t xml:space="preserve">, </w:t>
      </w:r>
      <w:r>
        <w:rPr>
          <w:rtl w:val="true"/>
        </w:rPr>
        <w:t>בהדגישו</w:t>
      </w:r>
      <w:r>
        <w:rPr>
          <w:rtl w:val="true"/>
        </w:rPr>
        <w:t xml:space="preserve">, </w:t>
      </w:r>
      <w:r>
        <w:rPr>
          <w:rtl w:val="true"/>
        </w:rPr>
        <w:t>כי הערכאות הדיוניות</w:t>
      </w:r>
      <w:r>
        <w:rPr>
          <w:rtl w:val="true"/>
        </w:rPr>
        <w:t xml:space="preserve">, </w:t>
      </w:r>
      <w:r>
        <w:rPr>
          <w:rtl w:val="true"/>
        </w:rPr>
        <w:t>מצטטות את הפסיקה של בית המשפט העליון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יש לנקוט יד קשה ולגזור מאסר בפועל על מי שנמצא מחזיק נשק שלא כדין</w:t>
      </w:r>
      <w:r>
        <w:rPr>
          <w:rtl w:val="true"/>
        </w:rPr>
        <w:t xml:space="preserve">, </w:t>
      </w:r>
      <w:r>
        <w:rPr>
          <w:rtl w:val="true"/>
        </w:rPr>
        <w:t>אך הלכה למעשה בגזרי הדין נמנעו מהרשעה</w:t>
      </w:r>
      <w:r>
        <w:rPr>
          <w:rtl w:val="true"/>
        </w:rPr>
        <w:t xml:space="preserve">, </w:t>
      </w:r>
      <w:r>
        <w:rPr>
          <w:rtl w:val="true"/>
        </w:rPr>
        <w:t>או הטילו מאסר מותנה</w:t>
      </w:r>
      <w:r>
        <w:rPr>
          <w:rtl w:val="true"/>
        </w:rPr>
        <w:t xml:space="preserve">, </w:t>
      </w:r>
      <w:r>
        <w:rPr>
          <w:rtl w:val="true"/>
        </w:rPr>
        <w:t>או כפי שנהוג על פי רוב</w:t>
      </w:r>
      <w:r>
        <w:rPr>
          <w:rtl w:val="true"/>
        </w:rPr>
        <w:t xml:space="preserve">, </w:t>
      </w:r>
      <w:r>
        <w:rPr>
          <w:rtl w:val="true"/>
        </w:rPr>
        <w:t>גזרו מאסרים בעבודות שירות</w:t>
      </w:r>
      <w:r>
        <w:rPr>
          <w:rtl w:val="true"/>
        </w:rPr>
        <w:t xml:space="preserve">, </w:t>
      </w:r>
      <w:r>
        <w:rPr>
          <w:rtl w:val="true"/>
        </w:rPr>
        <w:t>אף שבחלק מאותם מקרים התסקירים היו שליליים</w:t>
      </w:r>
      <w:r>
        <w:rPr>
          <w:rtl w:val="true"/>
        </w:rPr>
        <w:t xml:space="preserve">, </w:t>
      </w:r>
      <w:r>
        <w:rPr>
          <w:rtl w:val="true"/>
        </w:rPr>
        <w:t>בחלק נעשה שימוש בנשק</w:t>
      </w:r>
      <w:r>
        <w:rPr>
          <w:rtl w:val="true"/>
        </w:rPr>
        <w:t xml:space="preserve">, </w:t>
      </w:r>
      <w:r>
        <w:rPr>
          <w:rtl w:val="true"/>
        </w:rPr>
        <w:t>ואף כאשר אין המדובר במעידה ראשונה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 סקר בטיעוניו גזרי דין מהשנה האחרונה בהם נמנעו בתי המשפט מלגזור מאסר בפועל מאחורי סורג ובריח בעבירות 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 הטעים בטיעוניו</w:t>
      </w:r>
      <w:r>
        <w:rPr>
          <w:rtl w:val="true"/>
        </w:rPr>
        <w:t xml:space="preserve">, </w:t>
      </w:r>
      <w:r>
        <w:rPr>
          <w:rtl w:val="true"/>
        </w:rPr>
        <w:t>כי ההחזקה במקרה דנן נמצאת בתחתית ההיררכיה של מדרג החומרה</w:t>
      </w:r>
      <w:r>
        <w:rPr>
          <w:rtl w:val="true"/>
        </w:rPr>
        <w:t xml:space="preserve">, </w:t>
      </w:r>
      <w:r>
        <w:rPr>
          <w:rtl w:val="true"/>
        </w:rPr>
        <w:t>משלא נעשה שימוש בנשק ואף לא היתה כוונה לעשות בו שימוש על ידי 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 ביקש להתחשב בנסיבותיהם האישיות של הנאשמים</w:t>
      </w:r>
      <w:r>
        <w:rPr>
          <w:rtl w:val="true"/>
        </w:rPr>
        <w:t xml:space="preserve">, </w:t>
      </w:r>
      <w:r>
        <w:rPr>
          <w:rtl w:val="true"/>
        </w:rPr>
        <w:t>כפי שהן עולות מתסקירי שירות המבחן</w:t>
      </w:r>
      <w:r>
        <w:rPr>
          <w:rtl w:val="true"/>
        </w:rPr>
        <w:t xml:space="preserve">; </w:t>
      </w:r>
      <w:r>
        <w:rPr>
          <w:rtl w:val="true"/>
        </w:rPr>
        <w:t>הנאשמים קיבלו אחריות מלאה על עובדות כתב האישום</w:t>
      </w:r>
      <w:r>
        <w:rPr>
          <w:rtl w:val="true"/>
        </w:rPr>
        <w:t xml:space="preserve">, </w:t>
      </w:r>
      <w:r>
        <w:rPr>
          <w:rtl w:val="true"/>
        </w:rPr>
        <w:t>אין לחובתם עבר פלילי</w:t>
      </w:r>
      <w:r>
        <w:rPr>
          <w:rtl w:val="true"/>
        </w:rPr>
        <w:t xml:space="preserve">, </w:t>
      </w:r>
      <w:r>
        <w:rPr>
          <w:rtl w:val="true"/>
        </w:rPr>
        <w:t>מדובר במעידה ראשונה</w:t>
      </w:r>
      <w:r>
        <w:rPr>
          <w:rtl w:val="true"/>
        </w:rPr>
        <w:t xml:space="preserve">, </w:t>
      </w:r>
      <w:r>
        <w:rPr>
          <w:rtl w:val="true"/>
        </w:rPr>
        <w:t>הנאשם מתפרנס מעבודה בחקלאות בצורה נורמטיבית לחלוטין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בשל כל אלה</w:t>
      </w:r>
      <w:r>
        <w:rPr>
          <w:rtl w:val="true"/>
        </w:rPr>
        <w:t xml:space="preserve">, </w:t>
      </w:r>
      <w:r>
        <w:rPr>
          <w:rtl w:val="true"/>
        </w:rPr>
        <w:t>ביקש הסניגור לפתוח לפני הנאשמים שערי תשובה ולא למצות עמם את מלוא חומרת 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שמעתי את דברי הנאשמים שהביעו חרטה על מעשיהם</w:t>
      </w:r>
      <w:r>
        <w:rPr>
          <w:rtl w:val="true"/>
        </w:rPr>
        <w:t xml:space="preserve">. </w:t>
      </w:r>
    </w:p>
    <w:p>
      <w:pPr>
        <w:pStyle w:val="Heading5"/>
        <w:ind w:hanging="0" w:start="0" w:end="0"/>
        <w:jc w:val="star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  <w:rtl w:val="true"/>
        </w:rPr>
      </w:r>
    </w:p>
    <w:p>
      <w:pPr>
        <w:pStyle w:val="Heading5"/>
        <w:ind w:hanging="0" w:start="0" w:end="0"/>
        <w:jc w:val="star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  <w:rtl w:val="true"/>
        </w:rPr>
      </w:r>
    </w:p>
    <w:p>
      <w:pPr>
        <w:pStyle w:val="Heading5"/>
        <w:ind w:hanging="0" w:start="0" w:end="0"/>
        <w:jc w:val="start"/>
        <w:rPr>
          <w:i w:val="false"/>
          <w:i w:val="false"/>
          <w:iCs w:val="false"/>
          <w:u w:val="single"/>
        </w:rPr>
      </w:pPr>
      <w:r>
        <w:rPr>
          <w:i w:val="false"/>
          <w:i w:val="false"/>
          <w:iCs w:val="false"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i/>
          <w:i/>
          <w:iCs/>
          <w:u w:val="single"/>
        </w:rPr>
      </w:pPr>
      <w:r>
        <w:rPr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 xml:space="preserve">הנאשמים הורשעו בעבירות חמורות של החזקת אקדח </w:t>
      </w:r>
      <w:r>
        <w:rPr>
          <w:rtl w:val="true"/>
        </w:rPr>
        <w:t>(</w:t>
      </w:r>
      <w:r>
        <w:rPr>
          <w:rtl w:val="true"/>
        </w:rPr>
        <w:t>מדגם יריחו</w:t>
      </w:r>
      <w:r>
        <w:rPr>
          <w:rtl w:val="true"/>
        </w:rPr>
        <w:t xml:space="preserve">) </w:t>
      </w:r>
      <w:r>
        <w:rPr>
          <w:rtl w:val="true"/>
        </w:rPr>
        <w:t xml:space="preserve">ומחסנית </w:t>
      </w:r>
      <w:r>
        <w:rPr>
          <w:rtl w:val="true"/>
        </w:rPr>
        <w:t>(</w:t>
      </w:r>
      <w:r>
        <w:rPr>
          <w:rtl w:val="true"/>
        </w:rPr>
        <w:t xml:space="preserve">שהכילה כדורים מסוג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ללא היתר כדין</w:t>
      </w:r>
      <w:r>
        <w:rPr>
          <w:rtl w:val="true"/>
        </w:rPr>
        <w:t xml:space="preserve">; </w:t>
      </w:r>
      <w:r>
        <w:rPr>
          <w:rtl w:val="true"/>
        </w:rPr>
        <w:t>העבירות הנוספות בהן חטאה הנאשמת הן תולדה של עבירות אלה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העליון פסק וחזר ופסק</w:t>
      </w:r>
      <w:r>
        <w:rPr>
          <w:rtl w:val="true"/>
        </w:rPr>
        <w:t xml:space="preserve">, </w:t>
      </w:r>
      <w:r>
        <w:rPr>
          <w:rtl w:val="true"/>
        </w:rPr>
        <w:t>כי בעבירות של החזקת נשק יש ליתן משקל מרכזי לאינטרס הציבורי המחייב ענישה מחמירה ומרתיעה בשל החומרה היתירה הנלווית לעבירות אלה ובשל הסיכון הממשי לשלום הציבור הטמון בהן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hyperlink r:id="rId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8899/06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עומר ארמין</w:t>
      </w:r>
      <w:r>
        <w:rPr>
          <w:rtl w:val="true"/>
        </w:rPr>
        <w:t xml:space="preserve"> נ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 xml:space="preserve">ד מיום </w:t>
      </w:r>
      <w:r>
        <w:rPr/>
        <w:t>29.7.07</w:t>
      </w:r>
      <w:r>
        <w:rPr>
          <w:rtl w:val="true"/>
        </w:rPr>
        <w:t xml:space="preserve">)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b/>
          <w:b/>
          <w:bCs/>
          <w:rtl w:val="true"/>
        </w:rPr>
        <w:t>בהקשר זה על בית המשפט ליתן דעתו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 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לסוג הנשק שבו מדובר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לתכלית לשמה הוחזק וכן לשאלה עד כמה מוחשית היא הסכנה שייעשה בו שימוש</w:t>
      </w:r>
      <w:r>
        <w:rPr>
          <w:rtl w:val="true"/>
        </w:rPr>
        <w:t xml:space="preserve">". </w:t>
      </w:r>
      <w:r>
        <w:rPr>
          <w:rtl w:val="true"/>
        </w:rPr>
        <w:t>מכאן ברור</w:t>
      </w:r>
      <w:r>
        <w:rPr>
          <w:rtl w:val="true"/>
        </w:rPr>
        <w:t xml:space="preserve">, </w:t>
      </w:r>
      <w:r>
        <w:rPr>
          <w:rtl w:val="true"/>
        </w:rPr>
        <w:t xml:space="preserve">שחומרת העונש אינה נגזרת מהעונש המירבי הקבוע בצידה של העבירה בלבד </w:t>
      </w:r>
      <w:r>
        <w:rPr>
          <w:rtl w:val="true"/>
        </w:rPr>
        <w:t>(</w:t>
      </w:r>
      <w:r>
        <w:rPr>
          <w:rtl w:val="true"/>
        </w:rPr>
        <w:t xml:space="preserve">באשר להחזקת אקדח </w:t>
      </w:r>
      <w:r>
        <w:rPr>
          <w:rtl w:val="true"/>
        </w:rPr>
        <w:t xml:space="preserve">- </w:t>
      </w:r>
      <w:r>
        <w:rPr>
          <w:rtl w:val="true"/>
        </w:rPr>
        <w:t>מאסר שבע שנים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tl w:val="true"/>
        </w:rPr>
        <w:t xml:space="preserve">, </w:t>
      </w:r>
      <w:r>
        <w:rPr>
          <w:rtl w:val="true"/>
        </w:rPr>
        <w:t>ובאשר להחזקת תחמושת</w:t>
      </w:r>
      <w:r>
        <w:rPr>
          <w:rtl w:val="true"/>
        </w:rPr>
        <w:t>/</w:t>
      </w:r>
      <w:r>
        <w:rPr>
          <w:rtl w:val="true"/>
        </w:rPr>
        <w:t xml:space="preserve">כדורים </w:t>
      </w:r>
      <w:r>
        <w:rPr>
          <w:rtl w:val="true"/>
        </w:rPr>
        <w:t xml:space="preserve">- </w:t>
      </w:r>
      <w:r>
        <w:rPr>
          <w:rtl w:val="true"/>
        </w:rPr>
        <w:t>מאסר שלוש שנים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tl w:val="true"/>
        </w:rPr>
        <w:t xml:space="preserve">). </w:t>
      </w:r>
      <w:r>
        <w:rPr>
          <w:rtl w:val="true"/>
        </w:rPr>
        <w:t>העונש משתנה ממקרה למקרה</w:t>
      </w:r>
      <w:r>
        <w:rPr>
          <w:rtl w:val="true"/>
        </w:rPr>
        <w:t xml:space="preserve">, </w:t>
      </w:r>
      <w:r>
        <w:rPr>
          <w:rtl w:val="true"/>
        </w:rPr>
        <w:t>לפי מכלול הנסיבות של העושה והמעשה</w:t>
      </w:r>
      <w:r>
        <w:rPr>
          <w:rtl w:val="true"/>
        </w:rPr>
        <w:t xml:space="preserve">. </w:t>
      </w:r>
      <w:r>
        <w:rPr>
          <w:rtl w:val="true"/>
        </w:rPr>
        <w:t>קשת הענישה בעבירות של החזקת נשק היא רחבה ביותר ואין לומר</w:t>
      </w:r>
      <w:r>
        <w:rPr>
          <w:rtl w:val="true"/>
        </w:rPr>
        <w:t xml:space="preserve">, </w:t>
      </w:r>
      <w:r>
        <w:rPr>
          <w:rtl w:val="true"/>
        </w:rPr>
        <w:t>כי העונש הראוי בעבירות אלה הוא לעולם מאסר בפועל מאחורי סורג ובריח</w:t>
      </w:r>
      <w:r>
        <w:rPr>
          <w:rtl w:val="true"/>
        </w:rPr>
        <w:t xml:space="preserve">, </w:t>
      </w:r>
      <w:r>
        <w:rPr>
          <w:rtl w:val="true"/>
        </w:rPr>
        <w:t>יהיו הנסיבות אשר יהיו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ההלכה הפסוקה מלמדת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b/>
          <w:b/>
          <w:bCs/>
          <w:rtl w:val="true"/>
        </w:rPr>
        <w:t>דרך המלך בכגון 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בסופו של 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צריכה להיות ככלל מאסר מאחורי סורג 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 בראש וראשונה להרתעת היחיד והרבים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אורך התקופה כרוך כמובן בנסיבות הספציפיות של העושה והמעשה</w:t>
      </w:r>
      <w:r>
        <w:rPr>
          <w:rtl w:val="true"/>
        </w:rPr>
        <w:t>" (</w:t>
      </w:r>
      <w:hyperlink r:id="rId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 xml:space="preserve">הייתם עוואודה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 xml:space="preserve">-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 xml:space="preserve">ד מיום </w:t>
      </w:r>
      <w:r>
        <w:rPr/>
        <w:t>30.12.09</w:t>
      </w:r>
      <w:r>
        <w:rPr>
          <w:rtl w:val="true"/>
        </w:rPr>
        <w:t xml:space="preserve">). </w:t>
      </w:r>
      <w:r>
        <w:rPr>
          <w:rtl w:val="true"/>
        </w:rPr>
        <w:t>יחד עם זאת בית המשפט העליון סבר</w:t>
      </w:r>
      <w:r>
        <w:rPr>
          <w:rtl w:val="true"/>
        </w:rPr>
        <w:t xml:space="preserve">, </w:t>
      </w:r>
      <w:r>
        <w:rPr>
          <w:rtl w:val="true"/>
        </w:rPr>
        <w:t>כי בנסיבות מסוימות</w:t>
      </w:r>
      <w:r>
        <w:rPr>
          <w:rtl w:val="true"/>
        </w:rPr>
        <w:t xml:space="preserve">, </w:t>
      </w:r>
      <w:r>
        <w:rPr>
          <w:rtl w:val="true"/>
        </w:rPr>
        <w:t>ניתן להסתפק בעונש של מאסר בעבודות שירות</w:t>
      </w:r>
      <w:r>
        <w:rPr>
          <w:rtl w:val="true"/>
        </w:rPr>
        <w:t xml:space="preserve">; </w:t>
      </w:r>
      <w:r>
        <w:rPr>
          <w:rtl w:val="true"/>
        </w:rPr>
        <w:t>כך נפסק לאחרונה ב</w:t>
      </w:r>
      <w:r>
        <w:rPr>
          <w:rtl w:val="true"/>
        </w:rPr>
        <w:t xml:space="preserve">- 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9615/09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 xml:space="preserve">אשרף חטיב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 xml:space="preserve">ד מיום </w:t>
      </w:r>
      <w:r>
        <w:rPr/>
        <w:t>15.3.10</w:t>
      </w:r>
      <w:r>
        <w:rPr>
          <w:rtl w:val="true"/>
        </w:rPr>
        <w:t>), "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עם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נוכח היות המערער אדם נורמטיבי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שחטא לראשונה בחייו והרשעתו עלולה לפגוע גם במעמדו כרופא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ולענין זה איננו נוקטים עמדה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סברנו כי נכון יהיה לבחון את האפשרות שהוא ישא במאסר בדרך של עבודות שירות</w:t>
      </w:r>
      <w:r>
        <w:rPr>
          <w:rtl w:val="true"/>
        </w:rPr>
        <w:t xml:space="preserve">"; </w:t>
      </w:r>
      <w:r>
        <w:rPr>
          <w:rtl w:val="true"/>
        </w:rPr>
        <w:t xml:space="preserve">בפסק דין משלים מיום </w:t>
      </w:r>
      <w:r>
        <w:rPr/>
        <w:t>14.4.10</w:t>
      </w:r>
      <w:r>
        <w:rPr>
          <w:rtl w:val="true"/>
        </w:rPr>
        <w:t xml:space="preserve"> </w:t>
      </w:r>
      <w:r>
        <w:rPr>
          <w:rtl w:val="true"/>
        </w:rPr>
        <w:t>קבע בית המשפט העליון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באותו מקרה ישא את עונשו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) </w:t>
      </w:r>
      <w:r>
        <w:rPr>
          <w:rtl w:val="true"/>
        </w:rPr>
        <w:t>בעבודות שירות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 באותו מקרה דובר ברופא שיניים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1974</w:t>
      </w:r>
      <w:r>
        <w:rPr>
          <w:rtl w:val="true"/>
        </w:rPr>
        <w:t xml:space="preserve">, </w:t>
      </w:r>
      <w:r>
        <w:rPr>
          <w:rtl w:val="true"/>
        </w:rPr>
        <w:t>שנמצא מחזיק באקדח</w:t>
      </w:r>
      <w:r>
        <w:rPr>
          <w:rtl w:val="true"/>
        </w:rPr>
        <w:t xml:space="preserve">, </w:t>
      </w:r>
      <w:r>
        <w:rPr>
          <w:rtl w:val="true"/>
        </w:rPr>
        <w:t>מחסנית ותחמושת שלא 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מן הכלל אל הפרט</w:t>
      </w:r>
      <w:r>
        <w:rPr>
          <w:rtl w:val="true"/>
        </w:rPr>
        <w:t xml:space="preserve">. </w:t>
      </w:r>
      <w:r>
        <w:rPr>
          <w:rtl w:val="true"/>
        </w:rPr>
        <w:t>נסיבות מקרה דנן קרובות יותר לנסיבות המקרה שנדון ב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9615/09</w:t>
        </w:r>
      </w:hyperlink>
      <w:r>
        <w:rPr>
          <w:rtl w:val="true"/>
        </w:rPr>
        <w:t xml:space="preserve"> (</w:t>
      </w:r>
      <w:r>
        <w:rPr>
          <w:rtl w:val="true"/>
        </w:rPr>
        <w:t>אשרף חטיב</w:t>
      </w:r>
      <w:r>
        <w:rPr>
          <w:rtl w:val="true"/>
        </w:rPr>
        <w:t xml:space="preserve">) </w:t>
      </w:r>
      <w:r>
        <w:rPr>
          <w:rtl w:val="true"/>
        </w:rPr>
        <w:t>מאשר לנסיבות המקרה שנדון 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(</w:t>
      </w:r>
      <w:r>
        <w:rPr>
          <w:rtl w:val="true"/>
        </w:rPr>
        <w:t>הייתם עוואודה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עסקינן בנאשמים המתפקדים ככלל כאנשים נורמטיביים</w:t>
      </w:r>
      <w:r>
        <w:rPr>
          <w:rtl w:val="true"/>
        </w:rPr>
        <w:t xml:space="preserve">, </w:t>
      </w:r>
      <w:r>
        <w:rPr>
          <w:rtl w:val="true"/>
        </w:rPr>
        <w:t>שאין לחובתם עבר פלילי</w:t>
      </w:r>
      <w:r>
        <w:rPr>
          <w:rtl w:val="true"/>
        </w:rPr>
        <w:t xml:space="preserve">, </w:t>
      </w:r>
      <w:r>
        <w:rPr>
          <w:rtl w:val="true"/>
        </w:rPr>
        <w:t>אשר הודו במיוחס להם בהזדמנות הראשונה ולקחו אחריות על מעשיהם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כעולה מתסקירי שירות המבחן ומהתרשמותי הבלתי אמצעית במהלך הדיונים</w:t>
      </w:r>
      <w:r>
        <w:rPr>
          <w:rtl w:val="true"/>
        </w:rPr>
        <w:t xml:space="preserve">, </w:t>
      </w:r>
      <w:r>
        <w:rPr>
          <w:rtl w:val="true"/>
        </w:rPr>
        <w:t>שני הנאשמים מבינים כיום את חומרת מעשיהם ומביעים חרטה עמוקה וכנה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 הנאשם ביקש להתנדב לצה</w:t>
      </w:r>
      <w:r>
        <w:rPr>
          <w:rtl w:val="true"/>
        </w:rPr>
        <w:t>"</w:t>
      </w:r>
      <w:r>
        <w:rPr>
          <w:rtl w:val="true"/>
        </w:rPr>
        <w:t>ל בזמנו אך נדחה מסיבות שאינן תלויות בו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מקובלת עלי טענתו של ב</w:t>
      </w:r>
      <w:r>
        <w:rPr>
          <w:rtl w:val="true"/>
        </w:rPr>
        <w:t>"</w:t>
      </w:r>
      <w:r>
        <w:rPr>
          <w:rtl w:val="true"/>
        </w:rPr>
        <w:t>כ הנאשמים</w:t>
      </w:r>
      <w:r>
        <w:rPr>
          <w:rtl w:val="true"/>
        </w:rPr>
        <w:t xml:space="preserve">, </w:t>
      </w:r>
      <w:r>
        <w:rPr>
          <w:rtl w:val="true"/>
        </w:rPr>
        <w:t>כי לא הובאה כל ראיה להפרכת גרסתו של הנאשם אודות המקום שבו מצא את האקדח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ברי כי הנאשם הוא המבצע הדומיננטי והרוח החיה מאחורי המעשה</w:t>
      </w:r>
      <w:r>
        <w:rPr>
          <w:rtl w:val="true"/>
        </w:rPr>
        <w:t xml:space="preserve">; </w:t>
      </w:r>
      <w:r>
        <w:rPr>
          <w:rtl w:val="true"/>
        </w:rPr>
        <w:t>בעטיים של מעשי הנאשם הסתבכה גם הנאשמת בביצוע העבירות בהן הורשעה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באשר לנסיבות המעשה</w:t>
      </w:r>
      <w:r>
        <w:rPr>
          <w:rtl w:val="true"/>
        </w:rPr>
        <w:t xml:space="preserve">, </w:t>
      </w:r>
      <w:r>
        <w:rPr>
          <w:rtl w:val="true"/>
        </w:rPr>
        <w:t>מקרה זה נמצא במדרג הנמוך של עבירות הנשק משלא נעשה כל שימוש בנשק ואף לא נטען כי היתה כוונה לעשות בו שימוש כלשהו</w:t>
      </w:r>
      <w:r>
        <w:rPr>
          <w:rtl w:val="true"/>
        </w:rPr>
        <w:t xml:space="preserve">. </w:t>
      </w:r>
      <w:r>
        <w:rPr>
          <w:rtl w:val="true"/>
        </w:rPr>
        <w:t>בהינתן סוג הנשק שבו מדובר במקרה דנן</w:t>
      </w:r>
      <w:r>
        <w:rPr>
          <w:rtl w:val="true"/>
        </w:rPr>
        <w:t xml:space="preserve">, </w:t>
      </w:r>
      <w:r>
        <w:rPr>
          <w:rtl w:val="true"/>
        </w:rPr>
        <w:t>כמותו והעדר סכנה מוחשית שייעשה בו שימוש כלשהו</w:t>
      </w:r>
      <w:r>
        <w:rPr>
          <w:rtl w:val="true"/>
        </w:rPr>
        <w:t xml:space="preserve">, </w:t>
      </w:r>
      <w:r>
        <w:rPr>
          <w:rtl w:val="true"/>
        </w:rPr>
        <w:t>ובהינתן נסיבות העושים כמפורט לעיל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ניתן להסתפק בעניינם של הנאשמים בענישה הולמת כפי המלצת שירות 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 למותר להוסיף</w:t>
      </w:r>
      <w:r>
        <w:rPr>
          <w:rtl w:val="true"/>
        </w:rPr>
        <w:t xml:space="preserve">, </w:t>
      </w:r>
      <w:r>
        <w:rPr>
          <w:rtl w:val="true"/>
        </w:rPr>
        <w:t>כי ב</w:t>
      </w:r>
      <w:r>
        <w:rPr>
          <w:rtl w:val="true"/>
        </w:rPr>
        <w:t xml:space="preserve">- </w:t>
      </w:r>
      <w:hyperlink r:id="rId9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א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נצרת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152/08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 xml:space="preserve">אחמד עואודה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 xml:space="preserve">ד מיום </w:t>
      </w:r>
      <w:r>
        <w:rPr/>
        <w:t>24.6.08</w:t>
      </w:r>
      <w:r>
        <w:rPr>
          <w:rtl w:val="true"/>
        </w:rPr>
        <w:t xml:space="preserve">), </w:t>
      </w:r>
      <w:r>
        <w:rPr>
          <w:rtl w:val="true"/>
        </w:rPr>
        <w:t xml:space="preserve">שם הורשע המערער בבית משפט השלום בעבירות נשק </w:t>
      </w:r>
      <w:r>
        <w:rPr>
          <w:rtl w:val="true"/>
        </w:rPr>
        <w:t>(</w:t>
      </w:r>
      <w:r>
        <w:rPr>
          <w:rtl w:val="true"/>
        </w:rPr>
        <w:t>אקדח בתוכו מחסנית טעונה ב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כדורים וכן החזקת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 </w:t>
      </w:r>
      <w:r>
        <w:rPr>
          <w:rtl w:val="true"/>
        </w:rPr>
        <w:t>ונדון למאסר בפועל למשך שנה ולעונשים נלווים</w:t>
      </w:r>
      <w:r>
        <w:rPr>
          <w:rtl w:val="true"/>
        </w:rPr>
        <w:t xml:space="preserve">; </w:t>
      </w:r>
      <w:r>
        <w:rPr>
          <w:rtl w:val="true"/>
        </w:rPr>
        <w:t>בית המשפט המחוזי החליט לקבל את הערעור ולהסתפק בששה חודשי מאסר שירוצו בעבודות שירות</w:t>
      </w:r>
      <w:r>
        <w:rPr>
          <w:rtl w:val="true"/>
        </w:rPr>
        <w:t xml:space="preserve">; </w:t>
      </w:r>
      <w:r>
        <w:rPr>
          <w:rtl w:val="true"/>
        </w:rPr>
        <w:t xml:space="preserve">שם נפסק כי </w:t>
      </w:r>
      <w:r>
        <w:rPr>
          <w:rtl w:val="true"/>
        </w:rPr>
        <w:t>"</w:t>
      </w:r>
      <w:r>
        <w:rPr>
          <w:b/>
          <w:b/>
          <w:bCs/>
          <w:rtl w:val="true"/>
        </w:rPr>
        <w:t>על אף העובדה כי המערער החזיק בנשק ובתחמושת מזה 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 נעשה אף פעם שימוש כלשהו בנשק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בנסיבות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 לראות במעשיו של המערער כמעידה חד פעמית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וכי המקרה שבפנינו עומד במדרג הנמוך של עבירות הנשק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אף נסיבות מקרה דנן הינן במדרג הנמוך של עבירות הנשק</w:t>
      </w:r>
      <w:r>
        <w:rPr>
          <w:rtl w:val="true"/>
        </w:rPr>
        <w:t xml:space="preserve">, </w:t>
      </w:r>
      <w:r>
        <w:rPr>
          <w:rtl w:val="true"/>
        </w:rPr>
        <w:t>ומשכך ניתן להסתפק בעניינו של הנאשם בעונש מאסר בעבודות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(</w:t>
      </w:r>
      <w:r>
        <w:rPr>
          <w:rtl w:val="true"/>
        </w:rPr>
        <w:t>הייתם עוואודה</w:t>
      </w:r>
      <w:r>
        <w:rPr>
          <w:rtl w:val="true"/>
        </w:rPr>
        <w:t xml:space="preserve">) </w:t>
      </w:r>
      <w:r>
        <w:rPr>
          <w:rtl w:val="true"/>
        </w:rPr>
        <w:t>נהג המערער להחזיק באקדח ובמחסנית הבלתי מורשים בעסקו ובביתו</w:t>
      </w:r>
      <w:r>
        <w:rPr>
          <w:rtl w:val="true"/>
        </w:rPr>
        <w:t xml:space="preserve">, </w:t>
      </w:r>
      <w:r>
        <w:rPr>
          <w:rtl w:val="true"/>
        </w:rPr>
        <w:t>והנשק נמצא ברכבו כשהוא טעון ומוכן לירי</w:t>
      </w:r>
      <w:r>
        <w:rPr>
          <w:rtl w:val="true"/>
        </w:rPr>
        <w:t xml:space="preserve">; </w:t>
      </w:r>
      <w:r>
        <w:rPr>
          <w:rtl w:val="true"/>
        </w:rPr>
        <w:t>המערער אף פנה לקבלת רישיון נשק ונדחה</w:t>
      </w:r>
      <w:r>
        <w:rPr>
          <w:rtl w:val="true"/>
        </w:rPr>
        <w:t xml:space="preserve">; </w:t>
      </w:r>
      <w:r>
        <w:rPr>
          <w:rtl w:val="true"/>
        </w:rPr>
        <w:t>מקורו של אותו נשק לא נודע</w:t>
      </w:r>
      <w:r>
        <w:rPr>
          <w:rtl w:val="true"/>
        </w:rPr>
        <w:t xml:space="preserve">. </w:t>
      </w:r>
      <w:r>
        <w:rPr>
          <w:rtl w:val="true"/>
        </w:rPr>
        <w:t>כל הנסיבות האלה</w:t>
      </w:r>
      <w:r>
        <w:rPr>
          <w:rtl w:val="true"/>
        </w:rPr>
        <w:t xml:space="preserve">, </w:t>
      </w:r>
      <w:r>
        <w:rPr>
          <w:rtl w:val="true"/>
        </w:rPr>
        <w:t>המעצימות את חומרתה של העבירה</w:t>
      </w:r>
      <w:r>
        <w:rPr>
          <w:rtl w:val="true"/>
        </w:rPr>
        <w:t xml:space="preserve">, </w:t>
      </w:r>
      <w:r>
        <w:rPr>
          <w:rtl w:val="true"/>
        </w:rPr>
        <w:t>אינן מתקיימות במקרה דנן ולכל הפחות אינן באותה עוצמה כמו באותו מקרה</w:t>
      </w:r>
      <w:r>
        <w:rPr>
          <w:rtl w:val="true"/>
        </w:rPr>
        <w:t xml:space="preserve">, </w:t>
      </w:r>
      <w:r>
        <w:rPr>
          <w:rtl w:val="true"/>
        </w:rPr>
        <w:t>דבר המצדיק הקלה מסוימת בעונשו של הנאשם כאן לעומת המערער במקרה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ולאחר ששקלתי את טיעוני הצדדים לקולא ולחומרה</w:t>
      </w:r>
      <w:r>
        <w:rPr>
          <w:rtl w:val="true"/>
        </w:rPr>
        <w:t xml:space="preserve">, </w:t>
      </w:r>
      <w:r>
        <w:rPr>
          <w:rtl w:val="true"/>
        </w:rPr>
        <w:t>ובאיזון הנכון בין חומרת מעשיהם לבין נסיבותיהם האישיות</w:t>
      </w:r>
      <w:r>
        <w:rPr>
          <w:rtl w:val="true"/>
        </w:rPr>
        <w:t xml:space="preserve">, </w:t>
      </w:r>
      <w:r>
        <w:rPr>
          <w:rtl w:val="true"/>
        </w:rPr>
        <w:t>הנני לגזור על הנאשמים את העונשים 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על הנאשמת 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1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תעבור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עבירה בנשק או עבירה מהעבירות שבהן הורשעה בתיק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 xml:space="preserve">צ בהיקף של </w:t>
      </w:r>
      <w:r>
        <w:rPr/>
        <w:t>220</w:t>
      </w:r>
      <w:r>
        <w:rPr>
          <w:rtl w:val="true"/>
        </w:rPr>
        <w:t xml:space="preserve"> </w:t>
      </w:r>
      <w:r>
        <w:rPr>
          <w:rtl w:val="true"/>
        </w:rPr>
        <w:t>שעות בבית האבות בכפר דבוריה</w:t>
      </w:r>
      <w:r>
        <w:rPr>
          <w:rtl w:val="true"/>
        </w:rPr>
        <w:t xml:space="preserve">, </w:t>
      </w:r>
      <w:r>
        <w:rPr>
          <w:rtl w:val="true"/>
        </w:rPr>
        <w:t>כפי המלצת התסקיר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על הנאשם 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2</w:t>
      </w:r>
      <w:r>
        <w:rPr>
          <w:rtl w:val="true"/>
        </w:rPr>
        <w:t>:</w:t>
      </w:r>
    </w:p>
    <w:p>
      <w:pPr>
        <w:pStyle w:val="BodyTextIndent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שירוצו בעבודות שירות בבית אבות דבוריה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17.5.10</w:t>
      </w:r>
      <w:r>
        <w:rPr>
          <w:rtl w:val="true"/>
        </w:rPr>
        <w:t xml:space="preserve">, </w:t>
      </w:r>
      <w:r>
        <w:rPr>
          <w:rtl w:val="true"/>
        </w:rPr>
        <w:t xml:space="preserve">בהתאם לחוות דעת הממונה על עבודות השירות מיום </w:t>
      </w:r>
      <w:r>
        <w:rPr/>
        <w:t>11.4.10</w:t>
      </w:r>
      <w:r>
        <w:rPr>
          <w:rtl w:val="true"/>
        </w:rPr>
        <w:t xml:space="preserve">. </w:t>
      </w:r>
      <w:r>
        <w:rPr>
          <w:rtl w:val="true"/>
        </w:rPr>
        <w:t xml:space="preserve">הנאשם יפנה לממונה על עבודות השירות ויוודא כי תאריך ההתחלה ביום </w:t>
      </w:r>
      <w:r>
        <w:rPr/>
        <w:t>17.5.10</w:t>
      </w:r>
      <w:r>
        <w:rPr>
          <w:rtl w:val="true"/>
        </w:rPr>
        <w:t xml:space="preserve"> </w:t>
      </w:r>
      <w:r>
        <w:rPr>
          <w:rtl w:val="true"/>
        </w:rPr>
        <w:t>הינו תאריך המקובל 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עבירה 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מצבם הכלכלי של הנאשמים ולאור המלצת שירות המבחן</w:t>
      </w:r>
      <w:r>
        <w:rPr>
          <w:rtl w:val="true"/>
        </w:rPr>
        <w:t xml:space="preserve">, </w:t>
      </w:r>
      <w:r>
        <w:rPr>
          <w:rtl w:val="true"/>
        </w:rPr>
        <w:t>אני נמנע מלגזור עליהם קנס 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 תמציא העתק לשירות המבחן וכן לממונה על עבודות השירות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שאהר אטרש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אייר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10/05/2010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שאהר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אטרש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אירית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אסולין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/Users/liorb/Downloads/study2025-p2/ME-09-125-132.doc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125-09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רודינה פראירה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BodyTextIndent">
    <w:name w:val="Body Text Indent"/>
    <w:basedOn w:val="Normal"/>
    <w:pPr>
      <w:spacing w:lineRule="auto" w:line="360"/>
      <w:ind w:hanging="720" w:start="1440" w:end="0"/>
      <w:jc w:val="both"/>
    </w:pPr>
    <w:rPr>
      <w:rFonts w:ascii="Times New Roman" w:hAnsi="Times New Roman" w:eastAsia="Times New Roman" w:cs="Times New Roman"/>
    </w:rPr>
  </w:style>
  <w:style w:type="paragraph" w:styleId="BodyTextIndent2">
    <w:name w:val="Body Text Indent 2"/>
    <w:basedOn w:val="Normal"/>
    <w:qFormat/>
    <w:pPr>
      <w:spacing w:lineRule="auto" w:line="360"/>
      <w:ind w:hanging="720" w:start="720" w:end="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5804154" TargetMode="External"/><Relationship Id="rId5" Type="http://schemas.openxmlformats.org/officeDocument/2006/relationships/hyperlink" Target="http://www.nevo.co.il/case/6000182" TargetMode="External"/><Relationship Id="rId6" Type="http://schemas.openxmlformats.org/officeDocument/2006/relationships/hyperlink" Target="http://www.nevo.co.il/case/6156633" TargetMode="External"/><Relationship Id="rId7" Type="http://schemas.openxmlformats.org/officeDocument/2006/relationships/hyperlink" Target="http://www.nevo.co.il/case/6156633" TargetMode="External"/><Relationship Id="rId8" Type="http://schemas.openxmlformats.org/officeDocument/2006/relationships/hyperlink" Target="http://www.nevo.co.il/case/6000182" TargetMode="External"/><Relationship Id="rId9" Type="http://schemas.openxmlformats.org/officeDocument/2006/relationships/hyperlink" Target="http://www.nevo.co.il/case/642647" TargetMode="External"/><Relationship Id="rId10" Type="http://schemas.openxmlformats.org/officeDocument/2006/relationships/hyperlink" Target="http://www.nevo.co.il/case/6000182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2016-02-08T11:53:00Z</dcterms:created>
  <dc:creator> </dc:creator>
  <dc:description/>
  <cp:keywords/>
  <dc:language>en-IL</dc:language>
  <cp:lastModifiedBy>hofit</cp:lastModifiedBy>
  <dcterms:modified xsi:type="dcterms:W3CDTF">2016-02-08T11:53:00Z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רודינה פראירה;לאפי פראירה</vt:lpwstr>
  </property>
  <property fmtid="{D5CDD505-2E9C-101B-9397-08002B2CF9AE}" pid="4" name="CASESLISTTMP1">
    <vt:lpwstr>5804154;6000182:3;6156633:2;642647</vt:lpwstr>
  </property>
  <property fmtid="{D5CDD505-2E9C-101B-9397-08002B2CF9AE}" pid="5" name="CITY">
    <vt:lpwstr>נצ'</vt:lpwstr>
  </property>
  <property fmtid="{D5CDD505-2E9C-101B-9397-08002B2CF9AE}" pid="6" name="DATE">
    <vt:lpwstr>20100510</vt:lpwstr>
  </property>
  <property fmtid="{D5CDD505-2E9C-101B-9397-08002B2CF9AE}" pid="7" name="DELEMATA">
    <vt:lpwstr/>
  </property>
  <property fmtid="{D5CDD505-2E9C-101B-9397-08002B2CF9AE}" pid="8" name="JUDGE">
    <vt:lpwstr>שאהר אטרש</vt:lpwstr>
  </property>
  <property fmtid="{D5CDD505-2E9C-101B-9397-08002B2CF9AE}" pid="9" name="LAWLISTTMP1">
    <vt:lpwstr>70301</vt:lpwstr>
  </property>
  <property fmtid="{D5CDD505-2E9C-101B-9397-08002B2CF9AE}" pid="10" name="LAWYER">
    <vt:lpwstr>ראפי מסאלחה;ערן ערבה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125</vt:lpwstr>
  </property>
  <property fmtid="{D5CDD505-2E9C-101B-9397-08002B2CF9AE}" pid="24" name="NEWPARTB">
    <vt:lpwstr/>
  </property>
  <property fmtid="{D5CDD505-2E9C-101B-9397-08002B2CF9AE}" pid="25" name="NEWPARTC">
    <vt:lpwstr>09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>125</vt:lpwstr>
  </property>
  <property fmtid="{D5CDD505-2E9C-101B-9397-08002B2CF9AE}" pid="32" name="PROCYEAR">
    <vt:lpwstr>09</vt:lpwstr>
  </property>
  <property fmtid="{D5CDD505-2E9C-101B-9397-08002B2CF9AE}" pid="33" name="PSAKDIN">
    <vt:lpwstr>גזר-דין</vt:lpwstr>
  </property>
  <property fmtid="{D5CDD505-2E9C-101B-9397-08002B2CF9AE}" pid="34" name="RemarkFileName">
    <vt:lpwstr>mechozi me 09 125 132 htm</vt:lpwstr>
  </property>
  <property fmtid="{D5CDD505-2E9C-101B-9397-08002B2CF9AE}" pid="35" name="TYPE">
    <vt:lpwstr>2</vt:lpwstr>
  </property>
  <property fmtid="{D5CDD505-2E9C-101B-9397-08002B2CF9AE}" pid="36" name="TYPE_ABS_DATE">
    <vt:lpwstr>390020100510</vt:lpwstr>
  </property>
  <property fmtid="{D5CDD505-2E9C-101B-9397-08002B2CF9AE}" pid="37" name="TYPE_N_DATE">
    <vt:lpwstr>39020100510</vt:lpwstr>
  </property>
  <property fmtid="{D5CDD505-2E9C-101B-9397-08002B2CF9AE}" pid="38" name="VOLUME">
    <vt:lpwstr/>
  </property>
  <property fmtid="{D5CDD505-2E9C-101B-9397-08002B2CF9AE}" pid="39" name="WORDNUMPAGES">
    <vt:lpwstr>8</vt:lpwstr>
  </property>
</Properties>
</file>