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12519-04-14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סקה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52" w:type="dxa"/>
        <w:jc w:val="start"/>
        <w:tblInd w:w="-21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04"/>
        <w:gridCol w:w="2785"/>
        <w:gridCol w:w="5942"/>
        <w:gridCol w:w="21"/>
      </w:tblGrid>
      <w:tr>
        <w:trPr>
          <w:trHeight w:val="981" w:hRule="atLeast"/>
        </w:trPr>
        <w:tc>
          <w:tcPr>
            <w:tcW w:w="10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4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 w:before="0" w:after="200"/>
              <w:ind w:end="0"/>
              <w:jc w:val="star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/>
                <w:bCs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ascii="Calibri" w:hAnsi="Calibri" w:cs="Calibri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Calibri" w:hAnsi="Calibri" w:cs="Calibri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Calibri" w:ascii="Calibri" w:hAnsi="Calibri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Calibri" w:hAnsi="Calibri" w:cs="Calibri"/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ascii="Calibri" w:hAnsi="Calibri" w:cs="Calibri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Calibri" w:hAnsi="Calibri" w:cs="Calibri"/>
                <w:b/>
                <w:b/>
                <w:bCs/>
                <w:sz w:val="28"/>
                <w:sz w:val="28"/>
                <w:szCs w:val="28"/>
                <w:rtl w:val="true"/>
              </w:rPr>
              <w:t>ירון</w:t>
            </w:r>
            <w:r>
              <w:rPr>
                <w:rFonts w:ascii="Calibri" w:hAnsi="Calibri" w:cs="Calibri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Calibri" w:hAnsi="Calibri" w:cs="Calibri"/>
                <w:b/>
                <w:b/>
                <w:bCs/>
                <w:sz w:val="28"/>
                <w:sz w:val="28"/>
                <w:szCs w:val="28"/>
                <w:rtl w:val="true"/>
              </w:rPr>
              <w:t>לוי</w:t>
            </w:r>
            <w:r>
              <w:rPr>
                <w:rFonts w:ascii="Calibri" w:hAnsi="Calibri" w:cs="Calibri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                                                                            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30</w:t>
            </w:r>
            <w:r>
              <w:rPr>
                <w:rFonts w:cs="Calibri" w:ascii="Calibri" w:hAnsi="Calibri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Calibri" w:hAnsi="Calibri" w:cs="Calibri"/>
                <w:b/>
                <w:b/>
                <w:bCs/>
                <w:sz w:val="26"/>
                <w:sz w:val="26"/>
                <w:szCs w:val="26"/>
                <w:rtl w:val="true"/>
              </w:rPr>
              <w:t>יוני</w:t>
            </w:r>
            <w:r>
              <w:rPr>
                <w:rFonts w:ascii="Calibri" w:hAnsi="Calibri" w:cs="Calibri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2015</w:t>
            </w:r>
          </w:p>
          <w:p>
            <w:pPr>
              <w:pStyle w:val="Normal"/>
              <w:spacing w:lineRule="auto" w:line="360" w:before="0" w:after="200"/>
              <w:ind w:end="0"/>
              <w:jc w:val="start"/>
              <w:rPr>
                <w:rFonts w:ascii="Calibri" w:hAnsi="Calibri" w:cs="Calibri"/>
                <w:b/>
                <w:bCs/>
                <w:sz w:val="12"/>
                <w:szCs w:val="12"/>
              </w:rPr>
            </w:pPr>
            <w:r>
              <w:rPr>
                <w:rFonts w:cs="Calibri" w:ascii="Calibri" w:hAnsi="Calibri"/>
                <w:b/>
                <w:bCs/>
                <w:sz w:val="12"/>
                <w:szCs w:val="12"/>
                <w:rtl w:val="true"/>
              </w:rPr>
            </w:r>
          </w:p>
        </w:tc>
      </w:tr>
      <w:tr>
        <w:trPr>
          <w:trHeight w:val="1162" w:hRule="atLeast"/>
        </w:trPr>
        <w:tc>
          <w:tcPr>
            <w:tcW w:w="288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276" w:before="0" w:after="200"/>
              <w:ind w:start="26" w:end="0"/>
              <w:jc w:val="start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Calibri" w:hAnsi="Calibri" w:cs="Calibri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Calibri" w:ascii="Calibri" w:hAnsi="Calibri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4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276"/>
              <w:ind w:end="0"/>
              <w:jc w:val="start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>
              <w:rPr>
                <w:rFonts w:eastAsia="Calibri" w:cs="Calibri" w:ascii="Calibri" w:hAnsi="Calibri"/>
                <w:b/>
                <w:bCs/>
                <w:sz w:val="26"/>
                <w:szCs w:val="26"/>
                <w:rtl w:val="true"/>
              </w:rPr>
              <w:t xml:space="preserve">      </w:t>
            </w:r>
            <w:r>
              <w:rPr>
                <w:rFonts w:ascii="Calibri" w:hAnsi="Calibri" w:cs="Calibri"/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ascii="Calibri" w:hAnsi="Calibri" w:cs="Calibri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Calibri" w:hAnsi="Calibri" w:cs="Calibri"/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eastAsia="Calibri" w:cs="Calibri" w:ascii="Calibri" w:hAnsi="Calibri"/>
                <w:sz w:val="26"/>
                <w:szCs w:val="26"/>
                <w:rtl w:val="true"/>
              </w:rPr>
              <w:t xml:space="preserve">      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Calibri" w:ascii="Calibri" w:hAnsi="Calibri"/>
                <w:sz w:val="26"/>
                <w:szCs w:val="26"/>
                <w:rtl w:val="true"/>
              </w:rPr>
              <w:t>"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Calibri" w:ascii="Calibri" w:hAnsi="Calibri"/>
                <w:sz w:val="26"/>
                <w:szCs w:val="26"/>
                <w:rtl w:val="true"/>
              </w:rPr>
              <w:t>"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Calibri" w:ascii="Calibri" w:hAnsi="Calibri"/>
                <w:sz w:val="26"/>
                <w:szCs w:val="26"/>
                <w:rtl w:val="true"/>
              </w:rPr>
              <w:t>"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ביאלין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אלעזר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eastAsia="Calibri" w:cs="Calibri" w:ascii="Calibri" w:hAnsi="Calibri"/>
                <w:sz w:val="26"/>
                <w:szCs w:val="26"/>
                <w:rtl w:val="true"/>
              </w:rPr>
              <w:t xml:space="preserve">      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תל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אביב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Calibri" w:ascii="Calibri" w:hAnsi="Calibri"/>
                <w:sz w:val="26"/>
                <w:szCs w:val="26"/>
                <w:rtl w:val="true"/>
              </w:rPr>
              <w:t>(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Calibri" w:ascii="Calibri" w:hAnsi="Calibri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auto" w:line="276" w:before="0" w:after="200"/>
              <w:ind w:end="0"/>
              <w:jc w:val="start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cs="Calibri" w:ascii="Calibri" w:hAnsi="Calibri"/>
                <w:b/>
                <w:bCs/>
                <w:sz w:val="32"/>
                <w:szCs w:val="32"/>
                <w:rtl w:val="true"/>
              </w:rPr>
            </w:r>
          </w:p>
        </w:tc>
      </w:tr>
      <w:tr>
        <w:trPr>
          <w:trHeight w:val="633" w:hRule="atLeast"/>
        </w:trPr>
        <w:tc>
          <w:tcPr>
            <w:tcW w:w="885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276" w:before="0" w:after="20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                         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1750" w:hRule="atLeast"/>
        </w:trPr>
        <w:tc>
          <w:tcPr>
            <w:tcW w:w="288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276"/>
              <w:ind w:start="26" w:end="0"/>
              <w:jc w:val="start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rFonts w:cs="Calibri" w:ascii="Calibri" w:hAnsi="Calibri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4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numPr>
                <w:ilvl w:val="0"/>
                <w:numId w:val="7"/>
              </w:numPr>
              <w:spacing w:before="0" w:after="0"/>
              <w:ind w:hanging="360" w:start="720" w:end="0"/>
              <w:contextualSpacing/>
              <w:jc w:val="start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/>
                <w:bCs/>
                <w:sz w:val="26"/>
                <w:sz w:val="26"/>
                <w:szCs w:val="26"/>
                <w:rtl w:val="true"/>
              </w:rPr>
              <w:t>סלמה</w:t>
            </w:r>
            <w:r>
              <w:rPr>
                <w:rFonts w:ascii="Calibri" w:hAnsi="Calibri" w:cs="Calibri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Calibri" w:hAnsi="Calibri" w:cs="Calibri"/>
                <w:b/>
                <w:b/>
                <w:bCs/>
                <w:sz w:val="26"/>
                <w:sz w:val="26"/>
                <w:szCs w:val="26"/>
                <w:rtl w:val="true"/>
              </w:rPr>
              <w:t>סקה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>
              <w:rPr>
                <w:rFonts w:eastAsia="Calibri" w:cs="Calibri" w:ascii="Calibri" w:hAnsi="Calibri"/>
                <w:sz w:val="26"/>
                <w:szCs w:val="26"/>
                <w:rtl w:val="true"/>
              </w:rPr>
              <w:t xml:space="preserve">       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Calibri" w:ascii="Calibri" w:hAnsi="Calibri"/>
                <w:sz w:val="26"/>
                <w:szCs w:val="26"/>
                <w:rtl w:val="true"/>
              </w:rPr>
              <w:t>"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Calibri" w:ascii="Calibri" w:hAnsi="Calibri"/>
                <w:sz w:val="26"/>
                <w:szCs w:val="26"/>
                <w:rtl w:val="true"/>
              </w:rPr>
              <w:t>"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Calibri" w:ascii="Calibri" w:hAnsi="Calibri"/>
                <w:sz w:val="26"/>
                <w:szCs w:val="26"/>
                <w:rtl w:val="true"/>
              </w:rPr>
              <w:t>"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אורלי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פרייזלר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 xml:space="preserve">  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ind w:hanging="360" w:start="720" w:end="0"/>
              <w:contextualSpacing/>
              <w:jc w:val="start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ascii="Calibri" w:hAnsi="Calibri" w:cs="Calibri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Calibri" w:hAnsi="Calibri" w:cs="Calibri"/>
                <w:b/>
                <w:b/>
                <w:bCs/>
                <w:sz w:val="26"/>
                <w:sz w:val="26"/>
                <w:szCs w:val="26"/>
                <w:rtl w:val="true"/>
              </w:rPr>
              <w:t>מכאווי</w:t>
            </w:r>
          </w:p>
          <w:p>
            <w:pPr>
              <w:pStyle w:val="Normal"/>
              <w:spacing w:lineRule="auto" w:line="276"/>
              <w:ind w:start="360" w:end="0"/>
              <w:jc w:val="start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Calibri" w:ascii="Calibri" w:hAnsi="Calibri"/>
                <w:sz w:val="26"/>
                <w:szCs w:val="26"/>
                <w:rtl w:val="true"/>
              </w:rPr>
              <w:t>"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Calibri" w:ascii="Calibri" w:hAnsi="Calibri"/>
                <w:sz w:val="26"/>
                <w:szCs w:val="26"/>
                <w:rtl w:val="true"/>
              </w:rPr>
              <w:t>"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Calibri" w:ascii="Calibri" w:hAnsi="Calibri"/>
                <w:sz w:val="26"/>
                <w:szCs w:val="26"/>
                <w:rtl w:val="true"/>
              </w:rPr>
              <w:t>"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איתן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Calibri" w:hAnsi="Calibri" w:cs="Calibri"/>
                <w:sz w:val="26"/>
                <w:sz w:val="26"/>
                <w:szCs w:val="26"/>
                <w:rtl w:val="true"/>
              </w:rPr>
              <w:t>און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276" w:before="0" w:after="0"/>
              <w:ind w:start="720" w:end="0"/>
              <w:contextualSpacing/>
              <w:jc w:val="start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5" w:name="PsakDin"/>
      <w:bookmarkStart w:id="6" w:name="LawTable_End"/>
      <w:bookmarkEnd w:id="5"/>
      <w:bookmarkEnd w:id="6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b/>
          <w:b/>
          <w:bCs/>
          <w:sz w:val="28"/>
          <w:sz w:val="28"/>
          <w:szCs w:val="28"/>
          <w:u w:val="single"/>
          <w:rtl w:val="true"/>
        </w:rPr>
        <w:t>פתח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דבר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cs="Calibri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</w:rPr>
      </w:pPr>
      <w:bookmarkStart w:id="8" w:name="ABSTRACT_START"/>
      <w:bookmarkEnd w:id="8"/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מכפירתם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נויטל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במינימרקט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ביפו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bookmarkStart w:id="9" w:name="ABSTRACT_END"/>
      <w:bookmarkEnd w:id="9"/>
      <w:r>
        <w:rPr>
          <w:b/>
          <w:b/>
          <w:bCs/>
          <w:sz w:val="28"/>
          <w:sz w:val="28"/>
          <w:szCs w:val="28"/>
          <w:u w:val="single"/>
          <w:rtl w:val="true"/>
        </w:rPr>
        <w:t>העובדות</w:t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ואלה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14.03.2014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האחר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ביפו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15.03.2014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04:55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לוחיות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הרכב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כשהם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ומובילים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מינימרקט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פטאירגי</w:t>
      </w:r>
      <w:r>
        <w:rPr>
          <w:rFonts w:cs="Calibri" w:ascii="Calibri" w:hAnsi="Calibri"/>
          <w:rtl w:val="true"/>
        </w:rPr>
        <w:t>",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העסק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בידיעת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ובהסכמת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כנהג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הבאות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60" w:start="180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60" w:start="180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מוסטפא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פטאירגי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מוסטפא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1,300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60" w:start="180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סיגריות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וכרטיסי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חיוג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60" w:start="180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מוסטפא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שקשק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באומרו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נהרוג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וזהו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60" w:start="180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60" w:start="180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60" w:start="180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מנוסתם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התנגש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איהב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פטאירגי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איהב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איהב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מדרדר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העבירות</w:t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הבאות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החוק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15"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איומים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17"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cs="Calibri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הסדר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הטיעון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0" w:end="0"/>
        <w:contextualSpacing/>
        <w:jc w:val="both"/>
        <w:rPr>
          <w:sz w:val="28"/>
          <w:szCs w:val="28"/>
          <w:u w:val="single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במשותף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1</w:t>
      </w:r>
      <w:r>
        <w:rPr>
          <w:rFonts w:cs="Calibri" w:ascii="Calibri" w:hAnsi="Calibri"/>
          <w:rtl w:val="true"/>
        </w:rPr>
        <w:t xml:space="preserve"> -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פיצויים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                  </w:t>
      </w:r>
      <w:r>
        <w:rPr>
          <w:rFonts w:cs="Calibri" w:ascii="Calibri" w:hAnsi="Calibri"/>
        </w:rPr>
        <w:t>15,000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סולחי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2,200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2</w:t>
      </w:r>
      <w:r>
        <w:rPr>
          <w:rFonts w:cs="Calibri" w:ascii="Calibri" w:hAnsi="Calibri"/>
          <w:rtl w:val="true"/>
        </w:rPr>
        <w:t xml:space="preserve"> -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פיצויים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                </w:t>
      </w:r>
      <w:r>
        <w:rPr>
          <w:rFonts w:cs="Calibri" w:ascii="Calibri" w:hAnsi="Calibri"/>
        </w:rPr>
        <w:t>30,000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סולחי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2,200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  <w:highlight w:val="yellow"/>
        </w:rPr>
      </w:pPr>
      <w:r>
        <w:rPr>
          <w:rFonts w:cs="Calibri" w:ascii="Calibri" w:hAnsi="Calibri"/>
          <w:highlight w:val="yellow"/>
          <w:rtl w:val="true"/>
        </w:rPr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  <w:highlight w:val="yellow"/>
        </w:rPr>
      </w:pPr>
      <w:r>
        <w:rPr>
          <w:rFonts w:cs="Calibri" w:ascii="Calibri" w:hAnsi="Calibri"/>
          <w:highlight w:val="yellow"/>
          <w:rtl w:val="true"/>
        </w:rPr>
      </w:r>
    </w:p>
    <w:p>
      <w:pPr>
        <w:pStyle w:val="Normal"/>
        <w:spacing w:lineRule="auto" w:line="360" w:before="0" w:after="200"/>
        <w:ind w:end="0"/>
        <w:jc w:val="start"/>
        <w:rPr>
          <w:rFonts w:ascii="Calibri" w:hAnsi="Calibri" w:cs="Calibri"/>
          <w:b/>
          <w:bCs/>
          <w:sz w:val="28"/>
          <w:szCs w:val="28"/>
          <w:highlight w:val="yellow"/>
          <w:u w:val="single"/>
        </w:rPr>
      </w:pPr>
      <w:r>
        <w:rPr>
          <w:rFonts w:cs="Calibri" w:ascii="Calibri" w:hAnsi="Calibri"/>
          <w:b/>
          <w:bCs/>
          <w:sz w:val="28"/>
          <w:szCs w:val="28"/>
          <w:highlight w:val="yellow"/>
          <w:u w:val="single"/>
          <w:rtl w:val="true"/>
        </w:rPr>
      </w:r>
    </w:p>
    <w:p>
      <w:pPr>
        <w:pStyle w:val="Normal"/>
        <w:spacing w:lineRule="auto" w:line="360" w:before="0" w:after="200"/>
        <w:ind w:end="0"/>
        <w:jc w:val="start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לכאורה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ההדוק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שביניהן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cs="Calibri" w:ascii="Calibri" w:hAnsi="Calibri"/>
          <w:rtl w:val="true"/>
        </w:rPr>
        <w:t xml:space="preserve">: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4910/13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29.10.2014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ארז</w:t>
      </w:r>
      <w:r>
        <w:rPr>
          <w:rFonts w:cs="Calibri" w:ascii="Calibri" w:hAnsi="Calibri"/>
          <w:rtl w:val="true"/>
        </w:rPr>
        <w:t xml:space="preserve">).  </w:t>
      </w:r>
    </w:p>
    <w:p>
      <w:pPr>
        <w:pStyle w:val="Normal"/>
        <w:spacing w:lineRule="auto" w:line="360" w:before="0" w:after="200"/>
        <w:ind w:end="0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הערכים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המוגנים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המגונים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גבוהה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בליבם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200"/>
        <w:ind w:start="1134" w:end="1134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200"/>
        <w:ind w:start="1134" w:end="1134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נשפכו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דיואות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השוד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המצדיקה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ככלל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מאחורי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סורג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ובריח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כשהיא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נעברת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בצירוף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ובנסיבות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חמורות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ביטחונם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עוברי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אורח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יעוד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מרכזי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ועליהם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לעמוד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להנחלת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התחושה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היורד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לביטחונם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לכבודם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ולרכושם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אנוש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דינו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משמעותי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1134" w:end="1134"/>
        <w:contextualSpacing/>
        <w:jc w:val="both"/>
        <w:rPr>
          <w:rFonts w:ascii="Calibri" w:hAnsi="Calibri" w:cs="Calibri"/>
          <w:b/>
          <w:bCs/>
        </w:rPr>
      </w:pP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5901/10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גולקו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>, (</w:t>
      </w:r>
      <w:r>
        <w:rPr>
          <w:rFonts w:cs="Calibri" w:ascii="Calibri" w:hAnsi="Calibri"/>
        </w:rPr>
        <w:t>17.05.2011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1134" w:end="1134"/>
        <w:contextualSpacing/>
        <w:jc w:val="both"/>
        <w:rPr>
          <w:rFonts w:ascii="Calibri" w:hAnsi="Calibri" w:cs="Calibri"/>
          <w:b/>
          <w:bCs/>
          <w:sz w:val="18"/>
          <w:szCs w:val="18"/>
        </w:rPr>
      </w:pPr>
      <w:r>
        <w:rPr>
          <w:rFonts w:cs="Calibri" w:ascii="Calibri" w:hAnsi="Calibri"/>
          <w:b/>
          <w:bCs/>
          <w:sz w:val="18"/>
          <w:szCs w:val="18"/>
          <w:rtl w:val="true"/>
        </w:rPr>
      </w:r>
    </w:p>
    <w:p>
      <w:pPr>
        <w:pStyle w:val="Normal"/>
        <w:spacing w:lineRule="auto" w:line="360" w:before="0" w:after="200"/>
        <w:ind w:start="1134" w:end="1134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וכן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200"/>
        <w:ind w:start="1134" w:end="1134"/>
        <w:contextualSpacing/>
        <w:jc w:val="both"/>
        <w:rPr>
          <w:rFonts w:ascii="Calibri" w:hAnsi="Calibri" w:cs="Calibri"/>
          <w:b/>
          <w:bCs/>
          <w:sz w:val="18"/>
          <w:szCs w:val="18"/>
        </w:rPr>
      </w:pPr>
      <w:r>
        <w:rPr>
          <w:rFonts w:cs="Calibri" w:ascii="Calibri" w:hAnsi="Calibri"/>
          <w:b/>
          <w:bCs/>
          <w:sz w:val="18"/>
          <w:szCs w:val="18"/>
          <w:rtl w:val="true"/>
        </w:rPr>
      </w:r>
    </w:p>
    <w:p>
      <w:pPr>
        <w:pStyle w:val="Normal"/>
        <w:spacing w:lineRule="auto" w:line="360" w:before="0" w:after="200"/>
        <w:ind w:start="1134" w:end="1134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להרתיע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המבקשים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להיבנות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הזרוע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ולהגן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מפניהם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באמצעות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השתת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משמעותיים</w:t>
      </w:r>
      <w:r>
        <w:rPr>
          <w:rFonts w:cs="Calibri" w:ascii="Calibri" w:hAnsi="Calibri"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מחמירות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עסקינן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נודעת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חשיבות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לביטוי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הסלידה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החברתית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העמוקה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והבהרה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נושאת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בצדה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כבד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להרתיע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בכוח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1134" w:end="1134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rtl w:val="true"/>
        </w:rPr>
        <w:t>(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1178/14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מיכלאשוילי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23.06.2014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מיכלאשוילי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הקטלני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שלב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מקדים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לביצוע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עבירות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אחרות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שיש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אף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בהן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כדי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להטיל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אימה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ממשית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עוברים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ושבים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כפי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שאף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אירע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בפועל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בענייננו</w:t>
      </w:r>
      <w:r>
        <w:rPr>
          <w:rFonts w:cs="Calibri" w:ascii="Calibri" w:hAnsi="Calibri"/>
          <w:rtl w:val="true"/>
          <w:lang w:eastAsia="he-IL"/>
        </w:rPr>
        <w:t xml:space="preserve">. 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Calibri"/>
          <w:rtl w:val="true"/>
        </w:rPr>
        <w:t>לחומרת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הקפדני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ההגעה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לטשטוש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הצטיידות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יינתן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להוראת</w:t>
      </w:r>
      <w:r>
        <w:rPr>
          <w:rFonts w:ascii="Calibri" w:hAnsi="Calibri" w:cs="Calibri"/>
          <w:rtl w:val="true"/>
        </w:rPr>
        <w:t xml:space="preserve"> 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המילוט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הדומיננטי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הנותנים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להבדיל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מהאחר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הנוהגת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מיכלאשוילי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תכשיטים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הנחזה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לאמיתי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cs="Calibri" w:ascii="Calibri" w:hAnsi="Calibri"/>
          <w:rtl w:val="true"/>
        </w:rPr>
        <w:t xml:space="preserve">: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4012/13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זיני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12.02.2014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).  </w:t>
      </w:r>
    </w:p>
    <w:p>
      <w:pPr>
        <w:pStyle w:val="Normal"/>
        <w:spacing w:lineRule="auto" w:line="360" w:before="0" w:after="200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200"/>
        <w:ind w:end="0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240" w:after="200"/>
        <w:ind w:hanging="360" w:start="72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ולעוצמת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0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240" w:after="200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240" w:after="200"/>
        <w:ind w:end="0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פרייזלר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פרייזלר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הפאסיבי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  <w:sz w:val="18"/>
          <w:szCs w:val="18"/>
          <w:highlight w:val="yellow"/>
        </w:rPr>
      </w:pPr>
      <w:r>
        <w:rPr>
          <w:rFonts w:cs="Calibri" w:ascii="Calibri" w:hAnsi="Calibri"/>
          <w:sz w:val="18"/>
          <w:szCs w:val="18"/>
          <w:highlight w:val="yellow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מאוזן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76" w:before="0" w:after="20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יינתן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   </w:t>
      </w:r>
    </w:p>
    <w:p>
      <w:pPr>
        <w:pStyle w:val="Normal"/>
        <w:spacing w:lineRule="auto" w:line="276" w:before="0" w:after="20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ייתכן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החלטתי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לכבדו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200"/>
        <w:ind w:end="0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מועד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תחילת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המאסר</w:t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: 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- 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הרמדאן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</w:rPr>
        <w:t>30.07.2015</w:t>
      </w:r>
      <w:r>
        <w:rPr>
          <w:rFonts w:cs="Calibri" w:ascii="Calibri" w:hAnsi="Calibri"/>
          <w:rtl w:val="true"/>
        </w:rPr>
        <w:t xml:space="preserve"> ;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10.08.2015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נימקו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השחרור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בהתייצבותם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27.04.2015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החלטתי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לבקשה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start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cs="Calibri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200"/>
        <w:ind w:end="0"/>
        <w:jc w:val="start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סוף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דבר</w:t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b/>
          <w:bCs/>
          <w:rtl w:val="true"/>
        </w:rPr>
        <w:t xml:space="preserve">: </w:t>
      </w:r>
    </w:p>
    <w:p>
      <w:pPr>
        <w:pStyle w:val="Normal"/>
        <w:numPr>
          <w:ilvl w:val="0"/>
          <w:numId w:val="8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15.03.2014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03.02.2015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8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                      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יתייצב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30.07.2015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08:30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,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שלטונות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8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2,200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30.07.2015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8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סולחי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72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הפיצויים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פיקדון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12577-04-14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יתייצב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12577-04-14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יתייצב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numPr>
          <w:ilvl w:val="0"/>
          <w:numId w:val="6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20.05.2014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14.08.2014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6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                      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יתייצב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10.08.2015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08:30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,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שלטונות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6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2,200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30.07.2015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6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סולחי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72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הפיצויים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יתייצב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49184-05-14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12577-04-14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2,500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עאפיה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49184-05-14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07.07.2015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2,500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עאפיה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49184-05-14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07.07.2015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המוצגים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מוצגים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יחולטו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יושמדו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זכות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העליון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מהיום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ניתן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היום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ט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תשע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  <w:b/>
          <w:bCs/>
        </w:rPr>
        <w:t>30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2015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במעמד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הצדדים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tbl>
      <w:tblPr>
        <w:bidiVisual w:val="true"/>
        <w:tblW w:w="3261" w:type="dxa"/>
        <w:jc w:val="start"/>
        <w:tblInd w:w="10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</w:tblGrid>
      <w:tr>
        <w:trPr/>
        <w:tc>
          <w:tcPr>
            <w:tcW w:w="32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0" w:after="20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eastAsia="he-IL"/>
              </w:rPr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ירון 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ירון לוי </w:t>
      </w:r>
      <w:r>
        <w:rPr>
          <w:rFonts w:cs="David" w:ascii="David" w:hAnsi="David"/>
          <w:color w:val="000000"/>
          <w:sz w:val="22"/>
          <w:szCs w:val="22"/>
        </w:rPr>
        <w:t>30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יוני </w:t>
      </w:r>
      <w:r>
        <w:rPr>
          <w:rFonts w:cs="David" w:ascii="David" w:hAnsi="David"/>
          <w:color w:val="000000"/>
          <w:sz w:val="22"/>
          <w:szCs w:val="22"/>
        </w:rPr>
        <w:t>2015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12519-04-14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סלמה סקה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)"/>
      <w:lvlJc w:val="end"/>
      <w:pPr>
        <w:tabs>
          <w:tab w:val="num" w:pos="0"/>
        </w:tabs>
        <w:ind w:start="1800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cs="Times New Roman"/>
      </w:rPr>
    </w:lvl>
  </w:abstractNum>
  <w:abstractNum w:abstractNumId="4">
    <w:lvl w:ilvl="0">
      <w:start w:val="1"/>
      <w:numFmt w:val="hebrew1"/>
      <w:lvlText w:val="(%1)"/>
      <w:lvlJc w:val="end"/>
      <w:pPr>
        <w:tabs>
          <w:tab w:val="num" w:pos="0"/>
        </w:tabs>
        <w:ind w:start="1080" w:hanging="360"/>
      </w:pPr>
      <w:rPr>
        <w:rFonts w:cs="David"/>
      </w:rPr>
    </w:lvl>
  </w:abstractNum>
  <w:abstractNum w:abstractNumId="5">
    <w:lvl w:ilvl="0">
      <w:start w:val="1"/>
      <w:numFmt w:val="hebrew1"/>
      <w:lvlText w:val="(%1)"/>
      <w:lvlJc w:val="end"/>
      <w:pPr>
        <w:tabs>
          <w:tab w:val="num" w:pos="0"/>
        </w:tabs>
        <w:ind w:start="1080" w:hanging="360"/>
      </w:pPr>
      <w:rPr>
        <w:rFonts w:cs="David"/>
      </w:rPr>
    </w:lvl>
  </w:abstractNum>
  <w:abstractNum w:abstractNumId="6">
    <w:lvl w:ilvl="0">
      <w:start w:val="1"/>
      <w:numFmt w:val="hebrew1"/>
      <w:lvlText w:val="(%1)"/>
      <w:lvlJc w:val="end"/>
      <w:pPr>
        <w:tabs>
          <w:tab w:val="num" w:pos="0"/>
        </w:tabs>
        <w:ind w:start="1080" w:hanging="360"/>
      </w:pPr>
      <w:rPr>
        <w:b w:val="false"/>
        <w:bCs w:val="false"/>
        <w:rFonts w:cs="David"/>
      </w:rPr>
    </w:lvl>
  </w:abstractNum>
  <w:abstractNum w:abstractNumId="7">
    <w:lvl w:ilvl="0">
      <w:start w:val="1"/>
      <w:numFmt w:val="decimal"/>
      <w:lvlText w:val="(%1)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8">
    <w:lvl w:ilvl="0">
      <w:start w:val="1"/>
      <w:numFmt w:val="hebrew1"/>
      <w:lvlText w:val="(%1)"/>
      <w:lvlJc w:val="end"/>
      <w:pPr>
        <w:tabs>
          <w:tab w:val="num" w:pos="0"/>
        </w:tabs>
        <w:ind w:start="1080" w:hanging="360"/>
      </w:pPr>
      <w:rPr>
        <w:b w:val="false"/>
        <w:bCs w:val="false"/>
        <w:rFonts w:cs="David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  <w:b w:val="false"/>
      <w:bCs w:val="false"/>
      <w:sz w:val="24"/>
      <w:szCs w:val="24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David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David"/>
    </w:rPr>
  </w:style>
  <w:style w:type="character" w:styleId="WW8Num5z1">
    <w:name w:val="WW8Num5z1"/>
    <w:qFormat/>
    <w:rPr>
      <w:rFonts w:cs="Times New Roman"/>
    </w:rPr>
  </w:style>
  <w:style w:type="character" w:styleId="WW8Num5z2">
    <w:name w:val="WW8Num5z2"/>
    <w:qFormat/>
    <w:rPr>
      <w:rFonts w:cs="Times New Roman"/>
    </w:rPr>
  </w:style>
  <w:style w:type="character" w:styleId="WW8Num6z0">
    <w:name w:val="WW8Num6z0"/>
    <w:qFormat/>
    <w:rPr>
      <w:rFonts w:cs="David"/>
      <w:b w:val="false"/>
      <w:bCs w:val="false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/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David"/>
      <w:b w:val="false"/>
      <w:bCs w:val="false"/>
    </w:rPr>
  </w:style>
  <w:style w:type="character" w:styleId="WW8Num9z1">
    <w:name w:val="WW8Num9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1">
    <w:name w:val=" Char Char1"/>
    <w:qFormat/>
    <w:rPr>
      <w:rFonts w:cs="David"/>
      <w:sz w:val="24"/>
      <w:szCs w:val="24"/>
      <w:lang w:val="en-US" w:bidi="he-IL"/>
    </w:rPr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i.a.2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402.b" TargetMode="External"/><Relationship Id="rId8" Type="http://schemas.openxmlformats.org/officeDocument/2006/relationships/hyperlink" Target="http://www.nevo.co.il/law/70301/40jc.a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/402.b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192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40jc.a" TargetMode="External"/><Relationship Id="rId19" Type="http://schemas.openxmlformats.org/officeDocument/2006/relationships/hyperlink" Target="http://www.nevo.co.il/case/13093721" TargetMode="External"/><Relationship Id="rId20" Type="http://schemas.openxmlformats.org/officeDocument/2006/relationships/hyperlink" Target="http://www.nevo.co.il/case/6038879" TargetMode="External"/><Relationship Id="rId21" Type="http://schemas.openxmlformats.org/officeDocument/2006/relationships/hyperlink" Target="http://www.nevo.co.il/case/11328863" TargetMode="External"/><Relationship Id="rId22" Type="http://schemas.openxmlformats.org/officeDocument/2006/relationships/hyperlink" Target="http://www.nevo.co.il/law/70301/40i.a.2" TargetMode="External"/><Relationship Id="rId23" Type="http://schemas.openxmlformats.org/officeDocument/2006/relationships/hyperlink" Target="http://www.nevo.co.il/case/7662230" TargetMode="External"/><Relationship Id="rId24" Type="http://schemas.openxmlformats.org/officeDocument/2006/relationships/hyperlink" Target="http://www.nevo.co.il/case/13105245" TargetMode="External"/><Relationship Id="rId25" Type="http://schemas.openxmlformats.org/officeDocument/2006/relationships/hyperlink" Target="http://www.nevo.co.il/case/13105245" TargetMode="External"/><Relationship Id="rId26" Type="http://schemas.openxmlformats.org/officeDocument/2006/relationships/hyperlink" Target="http://www.nevo.co.il/case/16959185" TargetMode="External"/><Relationship Id="rId27" Type="http://schemas.openxmlformats.org/officeDocument/2006/relationships/hyperlink" Target="http://www.nevo.co.il/case/13105245" TargetMode="External"/><Relationship Id="rId28" Type="http://schemas.openxmlformats.org/officeDocument/2006/relationships/hyperlink" Target="http://www.nevo.co.il/case/16959185" TargetMode="External"/><Relationship Id="rId29" Type="http://schemas.openxmlformats.org/officeDocument/2006/relationships/hyperlink" Target="http://www.nevo.co.il/case/16959185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2017-12-04T16:32:00Z</dcterms:created>
  <dc:creator> </dc:creator>
  <dc:description/>
  <cp:keywords/>
  <dc:language>en-IL</dc:language>
  <cp:lastModifiedBy>run</cp:lastModifiedBy>
  <dcterms:modified xsi:type="dcterms:W3CDTF">2017-12-04T16:32:00Z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סלמה סקה;מוחמד מכאווי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13093721;6038879;11328863;7662230;13105245:3;16959185:3</vt:lpwstr>
  </property>
  <property fmtid="{D5CDD505-2E9C-101B-9397-08002B2CF9AE}" pid="9" name="CITY">
    <vt:lpwstr>ת"א</vt:lpwstr>
  </property>
  <property fmtid="{D5CDD505-2E9C-101B-9397-08002B2CF9AE}" pid="10" name="DATE">
    <vt:lpwstr>20150630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ירון לוי</vt:lpwstr>
  </property>
  <property fmtid="{D5CDD505-2E9C-101B-9397-08002B2CF9AE}" pid="14" name="LAWLISTTMP1">
    <vt:lpwstr>70301/402.b;029:3;499.a.1;144.b;192;40jc.a;040i.a.2</vt:lpwstr>
  </property>
  <property fmtid="{D5CDD505-2E9C-101B-9397-08002B2CF9AE}" pid="15" name="LAWYER">
    <vt:lpwstr>ביאלין אלעזר;אורלי פרייזלר;איתן און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12519</vt:lpwstr>
  </property>
  <property fmtid="{D5CDD505-2E9C-101B-9397-08002B2CF9AE}" pid="22" name="NEWPARTB">
    <vt:lpwstr>04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390020150630</vt:lpwstr>
  </property>
  <property fmtid="{D5CDD505-2E9C-101B-9397-08002B2CF9AE}" pid="34" name="TYPE_N_DATE">
    <vt:lpwstr>39020150630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