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0"/>
        <w:gridCol w:w="366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60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12520-08-20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חסארמה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השופטת  רונית בש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רזקאללה חסארמה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)</w:t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242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275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3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סדר הדין הפלילי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מעצר וחיפוש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 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1969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4">
        <w:r>
          <w:rPr>
            <w:rStyle w:val="Hyperlink"/>
            <w:rFonts w:cs="FrankRuehl" w:ascii="FrankRuehl" w:hAnsi="FrankRuehl"/>
            <w:color w:val="0000FF"/>
          </w:rPr>
          <w:t>32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</w:rPr>
          <w:t>39</w:t>
        </w:r>
      </w:hyperlink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</w:rPr>
            </w:pPr>
            <w:bookmarkStart w:id="6" w:name="PsakDin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</w:t>
      </w:r>
      <w:r>
        <w:rPr>
          <w:rtl w:val="true"/>
        </w:rPr>
        <w:t>.</w:t>
      </w:r>
      <w:bookmarkStart w:id="7" w:name="ABSTRACT_START"/>
      <w:bookmarkEnd w:id="7"/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7/2/21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tl w:val="true"/>
        </w:rPr>
        <w:t xml:space="preserve">),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  <w:rtl w:val="true"/>
          </w:rPr>
          <w:t>ו</w:t>
        </w:r>
        <w:r>
          <w:rPr>
            <w:rStyle w:val="Hyperlink"/>
            <w:rtl w:val="true"/>
          </w:rPr>
          <w:t>- 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rtl w:val="true"/>
        </w:rPr>
        <w:t>חוק העונשין</w:t>
      </w:r>
      <w:r>
        <w:rPr>
          <w:rtl w:val="true"/>
        </w:rPr>
        <w:t xml:space="preserve">),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242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21/3/21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קולמוס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שנמחקה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שנעתרתי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הקולמוס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מחיקת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tl w:val="true"/>
        </w:rPr>
        <w:t xml:space="preserve">),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5/4/21</w:t>
      </w:r>
      <w:r>
        <w:rPr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tl w:val="true"/>
        </w:rPr>
        <w:t xml:space="preserve">) </w:t>
      </w:r>
      <w:r>
        <w:rPr>
          <w:rtl w:val="true"/>
        </w:rPr>
        <w:t>אזכור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bookmarkStart w:id="8" w:name="ABSTRACT_END"/>
      <w:bookmarkEnd w:id="8"/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rFonts w:ascii="Miriam" w:hAnsi="Miriam" w:cs="Miriam"/>
          <w:u w:val="single"/>
          <w:rtl w:val="true"/>
        </w:rPr>
        <w:t>כתב האישום המתוקן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(</w:t>
      </w:r>
      <w:r>
        <w:rPr>
          <w:u w:val="single"/>
          <w:rtl w:val="true"/>
        </w:rPr>
        <w:t>להלן</w:t>
      </w:r>
      <w:r>
        <w:rPr>
          <w:u w:val="single"/>
          <w:rtl w:val="true"/>
        </w:rPr>
        <w:t xml:space="preserve">: </w:t>
      </w:r>
      <w:r>
        <w:rPr>
          <w:rFonts w:ascii="Miriam" w:hAnsi="Miriam" w:cs="Miriam"/>
          <w:u w:val="single"/>
          <w:rtl w:val="true"/>
        </w:rPr>
        <w:t>כתב האישום</w:t>
      </w:r>
      <w:r>
        <w:rPr>
          <w:u w:val="single"/>
          <w:rtl w:val="true"/>
        </w:rPr>
        <w:t>)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21/6/20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19:00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rtl w:val="true"/>
        </w:rPr>
        <w:t>הרכב</w:t>
      </w:r>
      <w:r>
        <w:rPr>
          <w:rtl w:val="true"/>
        </w:rPr>
        <w:t xml:space="preserve">) </w:t>
      </w:r>
      <w:r>
        <w:rPr>
          <w:rtl w:val="true"/>
        </w:rPr>
        <w:t>בכביש</w:t>
      </w:r>
      <w:r>
        <w:rPr>
          <w:rFonts w:cs="Times New Roman"/>
          <w:rtl w:val="true"/>
        </w:rPr>
        <w:t xml:space="preserve"> </w:t>
      </w:r>
      <w:r>
        <w:rPr/>
        <w:t>804</w:t>
      </w:r>
      <w:r>
        <w:rPr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>-</w:t>
      </w:r>
      <w:r>
        <w:rPr>
          <w:rtl w:val="true"/>
        </w:rPr>
        <w:t>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tl w:val="true"/>
        </w:rPr>
        <w:t xml:space="preserve">,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rtl w:val="true"/>
        </w:rPr>
        <w:t>המטען</w:t>
      </w:r>
      <w:r>
        <w:rPr>
          <w:rtl w:val="true"/>
        </w:rPr>
        <w:t xml:space="preserve">),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ישבו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שגרתית</w:t>
      </w:r>
      <w:r>
        <w:rPr>
          <w:rtl w:val="true"/>
        </w:rPr>
        <w:t xml:space="preserve">, </w:t>
      </w:r>
      <w:r>
        <w:rPr>
          <w:rtl w:val="true"/>
        </w:rPr>
        <w:t>נהגה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אלגלי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rtl w:val="true"/>
        </w:rPr>
        <w:t>השוטרת שני</w:t>
      </w:r>
      <w:r>
        <w:rPr>
          <w:rtl w:val="true"/>
        </w:rPr>
        <w:t xml:space="preserve">)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שהמתנדב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לידה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tl w:val="true"/>
        </w:rPr>
        <w:t xml:space="preserve">, </w:t>
      </w:r>
      <w:r>
        <w:rPr>
          <w:rtl w:val="true"/>
        </w:rPr>
        <w:t>השוטרת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והמתנדב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תנועה</w:t>
      </w:r>
      <w:r>
        <w:rPr>
          <w:rtl w:val="true"/>
        </w:rPr>
        <w:t xml:space="preserve">, </w:t>
      </w:r>
      <w:r>
        <w:rPr>
          <w:rtl w:val="true"/>
        </w:rPr>
        <w:t>ובעקבות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שהשוטרת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הפעילה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הכריזה</w:t>
      </w:r>
      <w:r>
        <w:rPr>
          <w:rtl w:val="true"/>
        </w:rPr>
        <w:t xml:space="preserve">,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המזדה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tl w:val="true"/>
        </w:rPr>
        <w:t xml:space="preserve">, </w:t>
      </w:r>
      <w:r>
        <w:rPr>
          <w:rtl w:val="true"/>
        </w:rPr>
        <w:t>והמשיך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בהימלטות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כביש</w:t>
      </w:r>
      <w:r>
        <w:rPr>
          <w:rFonts w:cs="Times New Roman"/>
          <w:rtl w:val="true"/>
        </w:rPr>
        <w:t xml:space="preserve"> </w:t>
      </w:r>
      <w:r>
        <w:rPr/>
        <w:t>85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הימלטות</w:t>
      </w:r>
      <w:r>
        <w:rPr>
          <w:rtl w:val="true"/>
        </w:rPr>
        <w:t>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מבעד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הקדמי</w:t>
      </w:r>
      <w:r>
        <w:rPr>
          <w:rtl w:val="true"/>
        </w:rPr>
        <w:t xml:space="preserve">- </w:t>
      </w:r>
      <w:r>
        <w:rPr>
          <w:rtl w:val="true"/>
        </w:rPr>
        <w:t>ימני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בהימלטות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tl w:val="true"/>
        </w:rPr>
        <w:t xml:space="preserve">, </w:t>
      </w:r>
      <w:r>
        <w:rPr>
          <w:rtl w:val="true"/>
        </w:rPr>
        <w:t>סטה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בעקבותיו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הזיתים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ממטע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הזיתים</w:t>
      </w:r>
      <w:r>
        <w:rPr>
          <w:rtl w:val="true"/>
        </w:rPr>
        <w:t xml:space="preserve">. </w:t>
      </w:r>
      <w:r>
        <w:rPr>
          <w:rtl w:val="true"/>
        </w:rPr>
        <w:t>השוטרת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ממטע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ראמה</w:t>
      </w:r>
      <w:r>
        <w:rPr>
          <w:rtl w:val="true"/>
        </w:rPr>
        <w:t xml:space="preserve">, </w:t>
      </w:r>
      <w:r>
        <w:rPr>
          <w:rtl w:val="true"/>
        </w:rPr>
        <w:t>האיץ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והמתנדב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בבריחה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15/7/20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21/7/20</w:t>
      </w:r>
      <w:r>
        <w:rPr>
          <w:rtl w:val="true"/>
        </w:rPr>
        <w:t xml:space="preserve">, </w:t>
      </w:r>
      <w:r>
        <w:rPr>
          <w:rtl w:val="true"/>
        </w:rPr>
        <w:t>בסיום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השולחן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ואסים</w:t>
      </w:r>
      <w:r>
        <w:rPr>
          <w:rtl w:val="true"/>
        </w:rPr>
        <w:t xml:space="preserve">,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החקירות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כראייה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rFonts w:ascii="Miriam" w:hAnsi="Miriam" w:cs="Miriam"/>
          <w:u w:val="single"/>
        </w:rPr>
      </w:pPr>
      <w:r>
        <w:rPr>
          <w:rFonts w:ascii="Miriam" w:hAnsi="Miriam" w:cs="Miriam"/>
          <w:u w:val="single"/>
          <w:rtl w:val="true"/>
        </w:rPr>
        <w:t>תסקיר שירות המבחן</w:t>
      </w:r>
    </w:p>
    <w:p>
      <w:pPr>
        <w:pStyle w:val="Normal"/>
        <w:ind w:end="0"/>
        <w:jc w:val="both"/>
        <w:rPr>
          <w:rFonts w:ascii="Miriam" w:hAnsi="Miriam" w:cs="Miriam"/>
          <w:u w:val="single"/>
        </w:rPr>
      </w:pPr>
      <w:r>
        <w:rPr>
          <w:rFonts w:cs="Miriam" w:ascii="Miriam" w:hAnsi="Miriam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19.5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.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בכיתה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החינוכית</w:t>
      </w:r>
      <w:r>
        <w:rPr>
          <w:rtl w:val="true"/>
        </w:rPr>
        <w:t xml:space="preserve">,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רבב</w:t>
      </w:r>
      <w:r>
        <w:rPr>
          <w:rtl w:val="true"/>
        </w:rPr>
        <w:t xml:space="preserve">. </w:t>
      </w:r>
      <w:r>
        <w:rPr>
          <w:rtl w:val="true"/>
        </w:rPr>
        <w:t>משיחה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להתבונן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קורבנית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, </w:t>
      </w:r>
      <w:r>
        <w:rPr>
          <w:rtl w:val="true"/>
        </w:rPr>
        <w:t>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tl w:val="true"/>
        </w:rPr>
        <w:t xml:space="preserve">, </w:t>
      </w:r>
      <w:r>
        <w:rPr>
          <w:rtl w:val="true"/>
        </w:rPr>
        <w:t>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tl w:val="true"/>
        </w:rPr>
        <w:t xml:space="preserve">,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בוויסות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לגיטימציה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אמפתיה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והסתרה</w:t>
      </w:r>
      <w:r>
        <w:rPr>
          <w:rtl w:val="true"/>
        </w:rPr>
        <w:t xml:space="preserve">. </w:t>
      </w:r>
      <w:r>
        <w:rPr>
          <w:rtl w:val="true"/>
        </w:rPr>
        <w:t>בשקלול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tl w:val="true"/>
        </w:rPr>
        <w:t xml:space="preserve">,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/>
        <w:t>6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והסמכות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והפרוגנוז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הנמוכה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u w:val="single"/>
        </w:rPr>
      </w:pPr>
      <w:r>
        <w:rPr>
          <w:rFonts w:ascii="Miriam" w:hAnsi="Miriam" w:cs="Miriam"/>
          <w:u w:val="single"/>
          <w:rtl w:val="true"/>
        </w:rPr>
        <w:t>הראיות לעונש וטיעוני  הצדדים לעונש</w:t>
      </w:r>
    </w:p>
    <w:p>
      <w:pPr>
        <w:pStyle w:val="Normal"/>
        <w:ind w:end="0"/>
        <w:jc w:val="both"/>
        <w:rPr>
          <w:rFonts w:ascii="Miriam" w:hAnsi="Miriam" w:cs="Miriam"/>
          <w:u w:val="single"/>
        </w:rPr>
      </w:pPr>
      <w:r>
        <w:rPr>
          <w:rFonts w:cs="Miriam" w:ascii="Miriam" w:hAnsi="Miriam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7</w:t>
      </w:r>
      <w:r>
        <w:rPr>
          <w:rtl w:val="true"/>
        </w:rPr>
        <w:t xml:space="preserve">. 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Fonts w:ascii="Miriam" w:hAnsi="Miriam" w:cs="Miriam"/>
          <w:rtl w:val="true"/>
        </w:rPr>
        <w:t>ט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1</w:t>
      </w:r>
      <w:r>
        <w:rPr>
          <w:rtl w:val="true"/>
        </w:rPr>
        <w:t xml:space="preserve">),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tl w:val="true"/>
        </w:rPr>
        <w:t xml:space="preserve">. 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תדפיס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Fonts w:ascii="Miriam" w:hAnsi="Miriam" w:cs="Miriam"/>
          <w:rtl w:val="true"/>
        </w:rPr>
        <w:t>ט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2</w:t>
      </w:r>
      <w:r>
        <w:rPr>
          <w:rtl w:val="true"/>
        </w:rPr>
        <w:t xml:space="preserve">),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tl w:val="true"/>
        </w:rPr>
        <w:t xml:space="preserve">,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Fonts w:ascii="Miriam" w:hAnsi="Miriam" w:cs="Miriam"/>
          <w:rtl w:val="true"/>
        </w:rPr>
        <w:t>ט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3</w:t>
      </w:r>
      <w:r>
        <w:rPr>
          <w:rtl w:val="true"/>
        </w:rPr>
        <w:t xml:space="preserve">)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Fonts w:ascii="Miriam" w:hAnsi="Miriam" w:cs="Miriam"/>
          <w:rtl w:val="true"/>
        </w:rPr>
        <w:t>ט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4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9.16</w:t>
      </w:r>
      <w:r>
        <w:rPr>
          <w:rtl w:val="true"/>
        </w:rPr>
        <w:t xml:space="preserve"> (</w:t>
      </w:r>
      <w:r>
        <w:rPr>
          <w:rFonts w:ascii="Miriam" w:hAnsi="Miriam" w:cs="Miriam"/>
          <w:rtl w:val="true"/>
        </w:rPr>
        <w:t>ט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5</w:t>
      </w:r>
      <w:r>
        <w:rPr>
          <w:rtl w:val="true"/>
        </w:rPr>
        <w:t xml:space="preserve">)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8</w:t>
      </w:r>
      <w:r>
        <w:rPr>
          <w:rtl w:val="true"/>
        </w:rPr>
        <w:t xml:space="preserve">. 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להמחשת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נפיץ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והובלתו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לבתיהם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המרדף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9</w:t>
      </w:r>
      <w:r>
        <w:rPr>
          <w:rtl w:val="true"/>
        </w:rPr>
        <w:t xml:space="preserve">. 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וביטחונו</w:t>
      </w:r>
      <w:r>
        <w:rPr>
          <w:rtl w:val="true"/>
        </w:rPr>
        <w:t xml:space="preserve">,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שבבעלותו</w:t>
      </w:r>
      <w:r>
        <w:rPr>
          <w:rtl w:val="true"/>
        </w:rPr>
        <w:t xml:space="preserve">,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בבריחה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שבועות</w:t>
      </w:r>
      <w:r>
        <w:rPr>
          <w:rtl w:val="true"/>
        </w:rPr>
        <w:t xml:space="preserve">). 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10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8.5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פרוגנוזה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שהעריך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/>
        <w:t>11</w:t>
      </w:r>
      <w:r>
        <w:rPr>
          <w:rtl w:val="true"/>
        </w:rPr>
        <w:t xml:space="preserve">. </w:t>
        <w:tab/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19.5</w:t>
      </w:r>
      <w:r>
        <w:rPr>
          <w:rtl w:val="true"/>
        </w:rPr>
        <w:t xml:space="preserve">, </w:t>
      </w:r>
      <w:r>
        <w:rPr>
          <w:rtl w:val="true"/>
        </w:rPr>
        <w:t>המשתייך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הבגירים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/ </w:t>
      </w:r>
      <w:r>
        <w:rPr>
          <w:rtl w:val="true"/>
        </w:rPr>
        <w:t>צעירים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, </w:t>
      </w:r>
      <w:r>
        <w:rPr>
          <w:rtl w:val="true"/>
        </w:rPr>
        <w:t>המהווה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15/7/20</w:t>
      </w:r>
      <w:r>
        <w:rPr>
          <w:rtl w:val="true"/>
        </w:rPr>
        <w:t xml:space="preserve">), </w:t>
      </w:r>
      <w:r>
        <w:rPr>
          <w:rtl w:val="true"/>
        </w:rPr>
        <w:t>המחישה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שבילה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בפנימייה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קוגניטיבי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12</w:t>
      </w:r>
      <w:r>
        <w:rPr>
          <w:rtl w:val="true"/>
        </w:rPr>
        <w:t xml:space="preserve">. 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מום</w:t>
      </w:r>
      <w:r>
        <w:rPr>
          <w:rtl w:val="true"/>
        </w:rPr>
        <w:t xml:space="preserve">,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שהלין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tl w:val="true"/>
        </w:rPr>
        <w:t xml:space="preserve">,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- </w:t>
      </w:r>
      <w:hyperlink r:id="rId2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49995-09-17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4/1/18</w:t>
      </w:r>
      <w:r>
        <w:rPr>
          <w:rtl w:val="true"/>
        </w:rPr>
        <w:t xml:space="preserve">)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מזיקוקין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tl w:val="true"/>
        </w:rPr>
        <w:t xml:space="preserve">;  </w:t>
      </w:r>
      <w:hyperlink r:id="rId2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34526-06-18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ג</w:t>
      </w:r>
      <w:r>
        <w:rPr>
          <w:rFonts w:cs="Miriam" w:ascii="Miriam" w:hAnsi="Miriam"/>
          <w:rtl w:val="true"/>
        </w:rPr>
        <w:t>'</w:t>
      </w:r>
      <w:r>
        <w:rPr>
          <w:rFonts w:ascii="Miriam" w:hAnsi="Miriam" w:cs="Miriam"/>
          <w:rtl w:val="true"/>
        </w:rPr>
        <w:t>האד כמיל ואח</w:t>
      </w:r>
      <w:r>
        <w:rPr>
          <w:rFonts w:cs="Miriam" w:ascii="Miriam" w:hAnsi="Miriam"/>
          <w:rtl w:val="true"/>
        </w:rPr>
        <w:t>'</w:t>
      </w:r>
      <w:r>
        <w:rPr>
          <w:rtl w:val="true"/>
        </w:rPr>
        <w:t xml:space="preserve"> (</w:t>
      </w:r>
      <w:r>
        <w:rPr/>
        <w:t>14/11/18</w:t>
      </w:r>
      <w:r>
        <w:rPr>
          <w:rtl w:val="true"/>
        </w:rPr>
        <w:t xml:space="preserve">)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tl w:val="true"/>
        </w:rPr>
        <w:t xml:space="preserve">)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tl w:val="true"/>
        </w:rPr>
        <w:t xml:space="preserve">),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13</w:t>
      </w:r>
      <w:r>
        <w:rPr>
          <w:rtl w:val="true"/>
        </w:rPr>
        <w:t xml:space="preserve">. </w:t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מיוחדים</w:t>
      </w:r>
      <w:r>
        <w:rPr>
          <w:rtl w:val="true"/>
        </w:rPr>
        <w:t xml:space="preserve">,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14</w:t>
      </w:r>
      <w:r>
        <w:rPr>
          <w:rtl w:val="true"/>
        </w:rPr>
        <w:t xml:space="preserve">. </w:t>
        <w:tab/>
      </w: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rFonts w:ascii="Miriam" w:hAnsi="Miriam" w:cs="Miriam"/>
          <w:b/>
          <w:bCs/>
          <w:u w:val="single"/>
        </w:rPr>
      </w:pPr>
      <w:r>
        <w:rPr>
          <w:rFonts w:cs="Miriam" w:ascii="Miriam" w:hAnsi="Miriam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b/>
          <w:bCs/>
          <w:u w:val="single"/>
        </w:rPr>
      </w:pPr>
      <w:r>
        <w:rPr>
          <w:rFonts w:ascii="Miriam" w:hAnsi="Miriam" w:cs="Miriam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b/>
          <w:bCs/>
          <w:u w:val="single"/>
        </w:rPr>
      </w:pPr>
      <w:r>
        <w:rPr>
          <w:rFonts w:cs="Miriam" w:ascii="Miriam" w:hAnsi="Miriam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16</w:t>
      </w:r>
      <w:r>
        <w:rPr>
          <w:rtl w:val="true"/>
        </w:rPr>
        <w:t xml:space="preserve">. </w:t>
        <w:tab/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מתווה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המגלם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1523/10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tl w:val="true"/>
        </w:rPr>
        <w:t xml:space="preserve">, </w:t>
      </w:r>
      <w:r>
        <w:rPr/>
        <w:t>18/4/12</w:t>
      </w:r>
      <w:r>
        <w:rPr>
          <w:rtl w:val="true"/>
        </w:rPr>
        <w:t xml:space="preserve">). </w:t>
      </w:r>
      <w:hyperlink r:id="rId2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ג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הכלולות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  <w:r>
        <w:rPr>
          <w:rtl w:val="true"/>
        </w:rPr>
        <w:t xml:space="preserve"> 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)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יג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)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8641/12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rtl w:val="true"/>
        </w:rPr>
        <w:t>סעד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5.8.2013</w:t>
      </w:r>
      <w:r>
        <w:rPr>
          <w:rtl w:val="true"/>
        </w:rPr>
        <w:t xml:space="preserve">)). </w:t>
      </w:r>
      <w:r>
        <w:rPr>
          <w:rtl w:val="true"/>
        </w:rPr>
        <w:t>ב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4910/13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rtl w:val="true"/>
        </w:rPr>
        <w:t>ג</w:t>
      </w:r>
      <w:r>
        <w:rPr>
          <w:rFonts w:cs="Miriam" w:ascii="Miriam" w:hAnsi="Miriam"/>
          <w:rtl w:val="true"/>
        </w:rPr>
        <w:t>'</w:t>
      </w:r>
      <w:r>
        <w:rPr>
          <w:rFonts w:ascii="Miriam" w:hAnsi="Miriam" w:cs="Miriam"/>
          <w:rtl w:val="true"/>
        </w:rPr>
        <w:t>אבר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 xml:space="preserve">מדינת ישראל </w:t>
      </w:r>
      <w:r>
        <w:rPr>
          <w:rtl w:val="true"/>
        </w:rPr>
        <w:t>(</w:t>
      </w:r>
      <w:r>
        <w:rPr/>
        <w:t>29.10.2014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rtl w:val="true"/>
        </w:rPr>
        <w:t>עניין ג</w:t>
      </w:r>
      <w:r>
        <w:rPr>
          <w:rFonts w:cs="Miriam" w:ascii="Miriam" w:hAnsi="Miriam"/>
          <w:rtl w:val="true"/>
        </w:rPr>
        <w:t>'</w:t>
      </w:r>
      <w:r>
        <w:rPr>
          <w:rFonts w:ascii="Miriam" w:hAnsi="Miriam" w:cs="Miriam"/>
          <w:rtl w:val="true"/>
        </w:rPr>
        <w:t>אבר</w:t>
      </w:r>
      <w:r>
        <w:rPr>
          <w:rtl w:val="true"/>
        </w:rPr>
        <w:t xml:space="preserve">)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להשקיף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אבר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ופסקה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פוגלמן</w:t>
      </w:r>
      <w:r>
        <w:rPr>
          <w:rtl w:val="true"/>
        </w:rPr>
        <w:t xml:space="preserve">).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0"/>
        </w:numPr>
        <w:ind w:hanging="0" w:start="0" w:end="0"/>
        <w:jc w:val="both"/>
        <w:rPr>
          <w:rFonts w:ascii="David" w:hAnsi="David" w:cs="David"/>
          <w:szCs w:val="24"/>
        </w:rPr>
      </w:pPr>
      <w:r>
        <w:rPr>
          <w:rFonts w:cs="David" w:ascii="Times New Roman" w:hAnsi="Times New Roman"/>
          <w:szCs w:val="24"/>
        </w:rPr>
        <w:t>1</w:t>
      </w:r>
      <w:r>
        <w:rPr>
          <w:rFonts w:cs="David" w:ascii="Times New Roman" w:hAnsi="Times New Roman"/>
          <w:szCs w:val="24"/>
        </w:rPr>
        <w:t>8</w:t>
      </w:r>
      <w:r>
        <w:rPr>
          <w:rFonts w:cs="David" w:ascii="Times New Roman" w:hAnsi="Times New Roman"/>
          <w:szCs w:val="24"/>
          <w:rtl w:val="true"/>
        </w:rPr>
        <w:t>.</w:t>
        <w:tab/>
      </w:r>
      <w:r>
        <w:rPr>
          <w:rFonts w:ascii="Times New Roman" w:hAnsi="Times New Roman" w:cs="David"/>
          <w:szCs w:val="24"/>
          <w:rtl w:val="true"/>
        </w:rPr>
        <w:t>הערך</w:t>
      </w:r>
      <w:r>
        <w:rPr>
          <w:rFonts w:ascii="Times New Roman" w:hAnsi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המוגן</w:t>
      </w:r>
      <w:r>
        <w:rPr>
          <w:rFonts w:ascii="Times New Roman" w:hAnsi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שנפגע</w:t>
      </w:r>
      <w:r>
        <w:rPr>
          <w:rFonts w:ascii="Times New Roman" w:hAnsi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כתוצאה</w:t>
      </w:r>
      <w:r>
        <w:rPr>
          <w:rFonts w:ascii="Times New Roman" w:hAnsi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מביצוע</w:t>
      </w:r>
      <w:r>
        <w:rPr>
          <w:rFonts w:ascii="Times New Roman" w:hAnsi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עביר</w:t>
      </w:r>
      <w:r>
        <w:rPr>
          <w:rFonts w:ascii="Times New Roman" w:hAnsi="Times New Roman" w:cs="David"/>
          <w:szCs w:val="24"/>
          <w:rtl w:val="true"/>
        </w:rPr>
        <w:t>ו</w:t>
      </w:r>
      <w:r>
        <w:rPr>
          <w:rFonts w:ascii="Times New Roman" w:hAnsi="Times New Roman" w:cs="David"/>
          <w:szCs w:val="24"/>
          <w:rtl w:val="true"/>
        </w:rPr>
        <w:t>ת</w:t>
      </w:r>
      <w:r>
        <w:rPr>
          <w:rFonts w:ascii="Times New Roman" w:hAnsi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בנשק</w:t>
      </w:r>
      <w:r>
        <w:rPr>
          <w:rFonts w:ascii="Times New Roman" w:hAnsi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שלום</w:t>
      </w:r>
      <w:r>
        <w:rPr>
          <w:rFonts w:ascii="Times New Roman" w:hAnsi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הציבור</w:t>
      </w:r>
      <w:r>
        <w:rPr>
          <w:rFonts w:ascii="Times New Roman" w:hAnsi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ובטחונו</w:t>
      </w:r>
      <w:r>
        <w:rPr>
          <w:rFonts w:cs="David" w:ascii="Times New Roman" w:hAnsi="Times New Roman"/>
          <w:szCs w:val="24"/>
          <w:rtl w:val="true"/>
        </w:rPr>
        <w:t xml:space="preserve">. </w:t>
      </w:r>
      <w:r>
        <w:rPr>
          <w:rFonts w:cs="Miriam" w:ascii="Miriam" w:hAnsi="Miriam"/>
          <w:szCs w:val="24"/>
          <w:rtl w:val="true"/>
        </w:rPr>
        <w:t>"</w:t>
      </w:r>
      <w:r>
        <w:rPr>
          <w:rFonts w:ascii="Miriam" w:hAnsi="Miriam" w:cs="Miriam"/>
          <w:szCs w:val="24"/>
          <w:rtl w:val="true"/>
        </w:rPr>
        <w:t>עבירות בנשק לסוגיהן מגלמות בתוכן סיכון ממשי לשלום הציבור ולבטחונו</w:t>
      </w:r>
      <w:r>
        <w:rPr>
          <w:rFonts w:cs="Miriam" w:ascii="Miriam" w:hAnsi="Miriam"/>
          <w:szCs w:val="24"/>
          <w:rtl w:val="true"/>
        </w:rPr>
        <w:t xml:space="preserve">, </w:t>
      </w:r>
      <w:r>
        <w:rPr>
          <w:rFonts w:ascii="Miriam" w:hAnsi="Miriam" w:cs="Miriam"/>
          <w:szCs w:val="24"/>
          <w:rtl w:val="true"/>
        </w:rPr>
        <w:t>שכן לא ניתן לדעת להיכן יתגלגלו כלי הנשק המוחזקים שלא כדין</w:t>
      </w:r>
      <w:r>
        <w:rPr>
          <w:rFonts w:cs="Miriam" w:ascii="Miriam" w:hAnsi="Miriam"/>
          <w:szCs w:val="24"/>
          <w:rtl w:val="true"/>
        </w:rPr>
        <w:t xml:space="preserve">, </w:t>
      </w:r>
      <w:r>
        <w:rPr>
          <w:rFonts w:ascii="Miriam" w:hAnsi="Miriam" w:cs="Miriam"/>
          <w:szCs w:val="24"/>
          <w:rtl w:val="true"/>
        </w:rPr>
        <w:t>ואיזה שימוש יעשה בהם בעתיד</w:t>
      </w:r>
      <w:r>
        <w:rPr>
          <w:rFonts w:cs="David" w:ascii="Times New Roman" w:hAnsi="Times New Roman"/>
          <w:szCs w:val="24"/>
          <w:rtl w:val="true"/>
        </w:rPr>
        <w:t>" (</w:t>
      </w:r>
      <w:hyperlink r:id="rId33">
        <w:r>
          <w:rPr>
            <w:rStyle w:val="Hyperlink"/>
            <w:rFonts w:ascii="Times New Roman" w:hAnsi="Times New Roman" w:cs="David"/>
            <w:color w:val="0000FF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Times New Roman" w:hAnsi="Times New Roman"/>
            <w:color w:val="0000FF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David"/>
            <w:color w:val="0000FF"/>
            <w:szCs w:val="24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 w:ascii="Times New Roman" w:hAnsi="Times New Roman"/>
            <w:color w:val="0000FF"/>
            <w:szCs w:val="24"/>
            <w:u w:val="single"/>
          </w:rPr>
          <w:t>7502/12</w:t>
        </w:r>
      </w:hyperlink>
      <w:r>
        <w:rPr>
          <w:rFonts w:cs="David" w:ascii="Times New Roman" w:hAnsi="Times New Roman"/>
          <w:szCs w:val="24"/>
          <w:rtl w:val="true"/>
        </w:rPr>
        <w:t xml:space="preserve"> ‏</w:t>
      </w:r>
      <w:r>
        <w:rPr>
          <w:rFonts w:ascii="Times New Roman" w:hAnsi="Times New Roman" w:cs="Miriam"/>
          <w:szCs w:val="24"/>
          <w:rtl w:val="true"/>
        </w:rPr>
        <w:t>כוויס</w:t>
      </w:r>
      <w:r>
        <w:rPr>
          <w:rFonts w:ascii="Times New Roman" w:hAnsi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Miriam"/>
          <w:szCs w:val="24"/>
          <w:rtl w:val="true"/>
        </w:rPr>
        <w:t>נ</w:t>
      </w:r>
      <w:r>
        <w:rPr>
          <w:rFonts w:cs="Miriam" w:ascii="Times New Roman" w:hAnsi="Times New Roman"/>
          <w:szCs w:val="24"/>
          <w:rtl w:val="true"/>
        </w:rPr>
        <w:t xml:space="preserve">' </w:t>
      </w:r>
      <w:r>
        <w:rPr>
          <w:rFonts w:ascii="Times New Roman" w:hAnsi="Times New Roman" w:cs="Miriam"/>
          <w:szCs w:val="24"/>
          <w:rtl w:val="true"/>
        </w:rPr>
        <w:t>מדינת</w:t>
      </w:r>
      <w:r>
        <w:rPr>
          <w:rFonts w:ascii="Times New Roman" w:hAnsi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Miriam"/>
          <w:szCs w:val="24"/>
          <w:rtl w:val="true"/>
        </w:rPr>
        <w:t>ישראל</w:t>
      </w:r>
      <w:r>
        <w:rPr>
          <w:rFonts w:ascii="Times New Roman" w:hAnsi="Times New Roman" w:cs="Times New Roman"/>
          <w:szCs w:val="24"/>
          <w:rtl w:val="true"/>
        </w:rPr>
        <w:t xml:space="preserve"> </w:t>
      </w:r>
      <w:r>
        <w:rPr>
          <w:rFonts w:cs="David" w:ascii="Times New Roman" w:hAnsi="Times New Roman"/>
          <w:szCs w:val="24"/>
          <w:rtl w:val="true"/>
        </w:rPr>
        <w:t>(</w:t>
      </w:r>
      <w:r>
        <w:rPr>
          <w:rFonts w:cs="David" w:ascii="Times New Roman" w:hAnsi="Times New Roman"/>
          <w:szCs w:val="24"/>
        </w:rPr>
        <w:t>25.6.2013</w:t>
      </w:r>
      <w:r>
        <w:rPr>
          <w:rFonts w:cs="David" w:ascii="Times New Roman" w:hAnsi="Times New Roman"/>
          <w:szCs w:val="24"/>
          <w:rtl w:val="true"/>
        </w:rPr>
        <w:t xml:space="preserve">)). </w:t>
      </w:r>
      <w:r>
        <w:rPr>
          <w:rFonts w:ascii="David" w:hAnsi="David" w:cs="David"/>
          <w:szCs w:val="24"/>
          <w:rtl w:val="true"/>
        </w:rPr>
        <w:t xml:space="preserve">עוד קבע בית המשפט העליון כי 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cs="FrankRuehl" w:ascii="FrankRuehl" w:hAnsi="FrankRuehl"/>
          <w:sz w:val="28"/>
          <w:rtl w:val="true"/>
        </w:rPr>
        <w:t>...</w:t>
      </w:r>
      <w:r>
        <w:rPr>
          <w:rFonts w:ascii="Miriam" w:hAnsi="Miriam" w:cs="Miriam"/>
          <w:szCs w:val="24"/>
          <w:rtl w:val="true"/>
        </w:rPr>
        <w:t>ביעור תופעת החזקת כלי נשק בלתי חוקיים הוא אפוא אינטרס ציבורי מהמעלה הראשונה ותנאי הכרחי למאבק בתופעות הפשיעה האלימה לסוגיה הרווחות במקומותינו</w:t>
      </w:r>
      <w:r>
        <w:rPr>
          <w:rFonts w:cs="Miriam" w:ascii="Miriam" w:hAnsi="Miriam"/>
          <w:szCs w:val="24"/>
          <w:rtl w:val="true"/>
        </w:rPr>
        <w:t xml:space="preserve">, </w:t>
      </w:r>
      <w:r>
        <w:rPr>
          <w:rFonts w:ascii="Miriam" w:hAnsi="Miriam" w:cs="Miriam"/>
          <w:szCs w:val="24"/>
          <w:rtl w:val="true"/>
        </w:rPr>
        <w:t xml:space="preserve">בבחינת </w:t>
      </w:r>
      <w:r>
        <w:rPr>
          <w:rFonts w:cs="Miriam" w:ascii="Miriam" w:hAnsi="Miriam"/>
          <w:szCs w:val="24"/>
          <w:rtl w:val="true"/>
        </w:rPr>
        <w:t>'</w:t>
      </w:r>
      <w:r>
        <w:rPr>
          <w:rFonts w:ascii="Miriam" w:hAnsi="Miriam" w:cs="Miriam"/>
          <w:szCs w:val="24"/>
          <w:rtl w:val="true"/>
        </w:rPr>
        <w:t>ייבוש הביצה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>המשמשת ערס לגידולן של תופעות אלה</w:t>
      </w:r>
      <w:r>
        <w:rPr>
          <w:rFonts w:cs="Miriam" w:ascii="Miriam" w:hAnsi="Miriam"/>
          <w:szCs w:val="24"/>
          <w:rtl w:val="true"/>
        </w:rPr>
        <w:t xml:space="preserve">. </w:t>
      </w:r>
      <w:r>
        <w:rPr>
          <w:rFonts w:ascii="Miriam" w:hAnsi="Miriam" w:cs="Miriam"/>
          <w:szCs w:val="24"/>
          <w:rtl w:val="true"/>
        </w:rPr>
        <w:t>מהלך כזה מחייב הירתמות גם של בתי המשפט</w:t>
      </w:r>
      <w:r>
        <w:rPr>
          <w:rFonts w:cs="Miriam" w:ascii="Miriam" w:hAnsi="Miriam"/>
          <w:szCs w:val="24"/>
          <w:rtl w:val="true"/>
        </w:rPr>
        <w:t xml:space="preserve">, </w:t>
      </w:r>
      <w:r>
        <w:rPr>
          <w:rFonts w:ascii="Miriam" w:hAnsi="Miriam" w:cs="Miriam"/>
          <w:szCs w:val="24"/>
          <w:rtl w:val="true"/>
        </w:rPr>
        <w:t>על ידי ענישה מחמירה ומרתיעה לעבירות נשק בלתי חוקי באשר הן</w:t>
      </w:r>
      <w:r>
        <w:rPr>
          <w:rFonts w:cs="FrankRuehl" w:ascii="FrankRuehl" w:hAnsi="FrankRuehl"/>
          <w:sz w:val="28"/>
          <w:rtl w:val="true"/>
        </w:rPr>
        <w:t xml:space="preserve">" </w:t>
      </w:r>
      <w:r>
        <w:rPr>
          <w:rFonts w:cs="David" w:ascii="David" w:hAnsi="David"/>
          <w:szCs w:val="24"/>
          <w:rtl w:val="true"/>
        </w:rPr>
        <w:t>(</w:t>
      </w:r>
      <w:hyperlink r:id="rId34">
        <w:r>
          <w:rPr>
            <w:rStyle w:val="Hyperlink"/>
            <w:rFonts w:ascii="David" w:hAnsi="David" w:cs="David"/>
            <w:color w:val="0000FF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Cs w:val="24"/>
            <w:u w:val="single"/>
          </w:rPr>
          <w:t>4406/19</w:t>
        </w:r>
      </w:hyperlink>
      <w:r>
        <w:rPr>
          <w:rFonts w:cs="David" w:ascii="David" w:hAnsi="David"/>
          <w:szCs w:val="24"/>
          <w:rtl w:val="true"/>
        </w:rPr>
        <w:t xml:space="preserve"> </w:t>
      </w:r>
      <w:r>
        <w:rPr>
          <w:rFonts w:ascii="Miriam" w:hAnsi="Miriam" w:cs="Miriam"/>
          <w:spacing w:val="0"/>
          <w:szCs w:val="24"/>
          <w:rtl w:val="true"/>
        </w:rPr>
        <w:t>סובח נ</w:t>
      </w:r>
      <w:r>
        <w:rPr>
          <w:rFonts w:cs="Miriam" w:ascii="Miriam" w:hAnsi="Miriam"/>
          <w:spacing w:val="0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Cs w:val="24"/>
          <w:rtl w:val="true"/>
        </w:rPr>
        <w:t>מדינת ישראל</w:t>
      </w:r>
      <w:r>
        <w:rPr>
          <w:rFonts w:cs="David" w:ascii="David" w:hAnsi="David"/>
          <w:szCs w:val="24"/>
          <w:rtl w:val="true"/>
        </w:rPr>
        <w:t xml:space="preserve">, </w:t>
      </w:r>
      <w:r>
        <w:rPr>
          <w:rFonts w:ascii="David" w:hAnsi="David" w:cs="David"/>
          <w:szCs w:val="24"/>
          <w:rtl w:val="true"/>
        </w:rPr>
        <w:t>חוות דעתו של כב</w:t>
      </w:r>
      <w:r>
        <w:rPr>
          <w:rFonts w:cs="David" w:ascii="David" w:hAnsi="David"/>
          <w:szCs w:val="24"/>
          <w:rtl w:val="true"/>
        </w:rPr>
        <w:t xml:space="preserve">' </w:t>
      </w:r>
      <w:r>
        <w:rPr>
          <w:rFonts w:ascii="David" w:hAnsi="David" w:cs="David"/>
          <w:szCs w:val="24"/>
          <w:rtl w:val="true"/>
        </w:rPr>
        <w:t xml:space="preserve">השופט </w:t>
      </w:r>
      <w:r>
        <w:rPr>
          <w:rFonts w:ascii="David" w:hAnsi="David" w:cs="David"/>
          <w:spacing w:val="0"/>
          <w:szCs w:val="24"/>
          <w:rtl w:val="true"/>
        </w:rPr>
        <w:t>מ</w:t>
      </w:r>
      <w:r>
        <w:rPr>
          <w:rFonts w:cs="David" w:ascii="David" w:hAnsi="David"/>
          <w:spacing w:val="0"/>
          <w:szCs w:val="24"/>
          <w:rtl w:val="true"/>
        </w:rPr>
        <w:t xml:space="preserve">' </w:t>
      </w:r>
      <w:r>
        <w:rPr>
          <w:rFonts w:ascii="David" w:hAnsi="David" w:cs="David"/>
          <w:spacing w:val="0"/>
          <w:szCs w:val="24"/>
          <w:rtl w:val="true"/>
        </w:rPr>
        <w:t xml:space="preserve">מזוז </w:t>
      </w:r>
      <w:r>
        <w:rPr>
          <w:rFonts w:cs="David" w:ascii="David" w:hAnsi="David"/>
          <w:szCs w:val="24"/>
          <w:rtl w:val="true"/>
        </w:rPr>
        <w:t>(</w:t>
      </w:r>
      <w:r>
        <w:rPr>
          <w:rFonts w:cs="David" w:ascii="David" w:hAnsi="David"/>
          <w:szCs w:val="24"/>
        </w:rPr>
        <w:t>5.11.2019</w:t>
      </w:r>
      <w:r>
        <w:rPr>
          <w:rFonts w:cs="David" w:ascii="David" w:hAnsi="David"/>
          <w:szCs w:val="24"/>
          <w:rtl w:val="true"/>
        </w:rPr>
        <w:t>))</w:t>
      </w:r>
      <w:r>
        <w:rPr>
          <w:rFonts w:cs="FrankRuehl" w:ascii="FrankRuehl" w:hAnsi="FrankRuehl"/>
          <w:sz w:val="28"/>
          <w:rtl w:val="true"/>
        </w:rPr>
        <w:t>.</w:t>
      </w:r>
      <w:r>
        <w:rPr>
          <w:rFonts w:ascii="David" w:hAnsi="David" w:cs="David"/>
          <w:szCs w:val="24"/>
          <w:rtl w:val="true"/>
        </w:rPr>
        <w:t xml:space="preserve">בית המשפט העליון שב ופסק כי </w:t>
      </w:r>
      <w:r>
        <w:rPr>
          <w:rFonts w:ascii="David" w:hAnsi="David" w:cs="David"/>
          <w:szCs w:val="24"/>
          <w:rtl w:val="true"/>
        </w:rPr>
        <w:t xml:space="preserve">ככלל </w:t>
      </w:r>
      <w:r>
        <w:rPr>
          <w:rFonts w:ascii="David" w:hAnsi="David" w:cs="David"/>
          <w:szCs w:val="24"/>
          <w:rtl w:val="true"/>
        </w:rPr>
        <w:t>אין להשלים עם ביצוען של עבירות נשק</w:t>
      </w:r>
      <w:r>
        <w:rPr>
          <w:rFonts w:ascii="David" w:hAnsi="David" w:cs="David"/>
          <w:szCs w:val="24"/>
          <w:rtl w:val="true"/>
        </w:rPr>
        <w:t xml:space="preserve"> ו</w:t>
      </w:r>
      <w:r>
        <w:rPr>
          <w:rFonts w:ascii="David" w:hAnsi="David" w:cs="David"/>
          <w:szCs w:val="24"/>
          <w:rtl w:val="true"/>
        </w:rPr>
        <w:t xml:space="preserve">יש להחמיר בעונשם של המורשעים בעבירות אלו תוך מתן ביטוי עונשי הולם לסכנה הממשית הנשקפת ממעשיהם </w:t>
      </w:r>
      <w:r>
        <w:rPr>
          <w:rFonts w:cs="David" w:ascii="David" w:hAnsi="David"/>
          <w:szCs w:val="24"/>
          <w:rtl w:val="true"/>
        </w:rPr>
        <w:t>(</w:t>
      </w:r>
      <w:r>
        <w:rPr>
          <w:rFonts w:ascii="David" w:hAnsi="David" w:cs="David"/>
          <w:szCs w:val="24"/>
          <w:rtl w:val="true"/>
        </w:rPr>
        <w:t>ראו</w:t>
      </w:r>
      <w:r>
        <w:rPr>
          <w:rFonts w:cs="David" w:ascii="David" w:hAnsi="David"/>
          <w:szCs w:val="24"/>
          <w:rtl w:val="true"/>
        </w:rPr>
        <w:t xml:space="preserve">: </w:t>
      </w:r>
      <w:hyperlink r:id="rId35">
        <w:r>
          <w:rPr>
            <w:rStyle w:val="Hyperlink"/>
            <w:rFonts w:ascii="David" w:hAnsi="David" w:cs="David"/>
            <w:color w:val="0000FF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Cs w:val="24"/>
            <w:u w:val="single"/>
          </w:rPr>
          <w:t>135/17</w:t>
        </w:r>
      </w:hyperlink>
      <w:r>
        <w:rPr>
          <w:rFonts w:cs="David" w:ascii="David" w:hAnsi="David"/>
          <w:szCs w:val="24"/>
          <w:rtl w:val="true"/>
        </w:rPr>
        <w:t xml:space="preserve"> </w:t>
      </w:r>
      <w:r>
        <w:rPr>
          <w:rFonts w:ascii="Miriam" w:hAnsi="Miriam" w:cs="Miriam"/>
          <w:spacing w:val="0"/>
          <w:szCs w:val="24"/>
          <w:rtl w:val="true"/>
        </w:rPr>
        <w:t>מדינת ישראל נ</w:t>
      </w:r>
      <w:r>
        <w:rPr>
          <w:rFonts w:cs="Miriam" w:ascii="Miriam" w:hAnsi="Miriam"/>
          <w:spacing w:val="0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Cs w:val="24"/>
          <w:rtl w:val="true"/>
        </w:rPr>
        <w:t>בסל</w:t>
      </w:r>
      <w:r>
        <w:rPr>
          <w:rFonts w:ascii="David" w:hAnsi="David" w:cs="David"/>
          <w:spacing w:val="0"/>
          <w:szCs w:val="24"/>
          <w:rtl w:val="true"/>
        </w:rPr>
        <w:t xml:space="preserve"> </w:t>
      </w:r>
      <w:r>
        <w:rPr>
          <w:rFonts w:cs="David" w:ascii="David" w:hAnsi="David"/>
          <w:szCs w:val="24"/>
          <w:rtl w:val="true"/>
        </w:rPr>
        <w:t>(</w:t>
      </w:r>
      <w:r>
        <w:rPr>
          <w:rFonts w:cs="David" w:ascii="David" w:hAnsi="David"/>
          <w:szCs w:val="24"/>
        </w:rPr>
        <w:t>8.3.2017</w:t>
      </w:r>
      <w:r>
        <w:rPr>
          <w:rFonts w:cs="David" w:ascii="David" w:hAnsi="David"/>
          <w:szCs w:val="24"/>
          <w:rtl w:val="true"/>
        </w:rPr>
        <w:t xml:space="preserve">); </w:t>
      </w:r>
      <w:r>
        <w:rPr>
          <w:rFonts w:ascii="David" w:hAnsi="David" w:cs="David"/>
          <w:color w:val="000000"/>
          <w:szCs w:val="24"/>
          <w:rtl w:val="true"/>
        </w:rPr>
        <w:t>ע</w:t>
      </w:r>
      <w:r>
        <w:rPr>
          <w:rFonts w:cs="David" w:ascii="David" w:hAnsi="David"/>
          <w:color w:val="000000"/>
          <w:szCs w:val="24"/>
          <w:rtl w:val="true"/>
        </w:rPr>
        <w:t>"</w:t>
      </w:r>
      <w:r>
        <w:rPr>
          <w:rFonts w:ascii="David" w:hAnsi="David" w:cs="David"/>
          <w:color w:val="000000"/>
          <w:szCs w:val="24"/>
          <w:rtl w:val="true"/>
        </w:rPr>
        <w:t xml:space="preserve">פ </w:t>
      </w:r>
      <w:r>
        <w:rPr>
          <w:rFonts w:cs="David" w:ascii="David" w:hAnsi="David"/>
          <w:color w:val="000000"/>
          <w:szCs w:val="24"/>
        </w:rPr>
        <w:t>2808/18</w:t>
      </w:r>
      <w:r>
        <w:rPr>
          <w:rFonts w:cs="David" w:ascii="David" w:hAnsi="David"/>
          <w:szCs w:val="24"/>
          <w:rtl w:val="true"/>
        </w:rPr>
        <w:t xml:space="preserve"> </w:t>
      </w:r>
      <w:r>
        <w:rPr>
          <w:rFonts w:ascii="Miriam" w:hAnsi="Miriam" w:cs="Miriam"/>
          <w:spacing w:val="0"/>
          <w:szCs w:val="24"/>
          <w:rtl w:val="true"/>
        </w:rPr>
        <w:t>ג</w:t>
      </w:r>
      <w:r>
        <w:rPr>
          <w:rFonts w:cs="Miriam" w:ascii="Miriam" w:hAnsi="Miriam"/>
          <w:spacing w:val="0"/>
          <w:szCs w:val="24"/>
          <w:rtl w:val="true"/>
        </w:rPr>
        <w:t>'</w:t>
      </w:r>
      <w:r>
        <w:rPr>
          <w:rFonts w:ascii="Miriam" w:hAnsi="Miriam" w:cs="Miriam"/>
          <w:spacing w:val="0"/>
          <w:szCs w:val="24"/>
          <w:rtl w:val="true"/>
        </w:rPr>
        <w:t>ואמיס נ</w:t>
      </w:r>
      <w:r>
        <w:rPr>
          <w:rFonts w:cs="Miriam" w:ascii="Miriam" w:hAnsi="Miriam"/>
          <w:spacing w:val="0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Cs w:val="24"/>
          <w:rtl w:val="true"/>
        </w:rPr>
        <w:t xml:space="preserve">מדינת ישראל </w:t>
      </w:r>
      <w:r>
        <w:rPr>
          <w:rFonts w:cs="David" w:ascii="David" w:hAnsi="David"/>
          <w:szCs w:val="24"/>
          <w:rtl w:val="true"/>
        </w:rPr>
        <w:t>(</w:t>
      </w:r>
      <w:r>
        <w:rPr>
          <w:rFonts w:cs="David" w:ascii="David" w:hAnsi="David"/>
          <w:szCs w:val="24"/>
        </w:rPr>
        <w:t>26.7.2018</w:t>
      </w:r>
      <w:r>
        <w:rPr>
          <w:rFonts w:cs="David" w:ascii="David" w:hAnsi="David"/>
          <w:szCs w:val="24"/>
          <w:rtl w:val="true"/>
        </w:rPr>
        <w:t xml:space="preserve">)). </w:t>
      </w:r>
    </w:p>
    <w:p>
      <w:pPr>
        <w:pStyle w:val="Normal"/>
        <w:ind w:end="0"/>
        <w:jc w:val="start"/>
        <w:rPr>
          <w:rFonts w:ascii="David" w:hAnsi="David" w:cs="David"/>
          <w:szCs w:val="24"/>
        </w:rPr>
      </w:pPr>
      <w:r>
        <w:rPr>
          <w:rFonts w:cs="David" w:ascii="David" w:hAnsi="David"/>
          <w:szCs w:val="24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David" w:cs="David" w:ascii="David" w:hAnsi="David"/>
        </w:rPr>
        <w:t>1</w:t>
      </w:r>
      <w:r>
        <w:rPr>
          <w:rFonts w:eastAsia="David" w:cs="David" w:ascii="David" w:hAnsi="David"/>
        </w:rPr>
        <w:t>9</w:t>
      </w:r>
      <w:r>
        <w:rPr>
          <w:rtl w:val="true"/>
        </w:rPr>
        <w:t>.</w:t>
        <w:tab/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במאובחן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מהשוטרים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. </w:t>
      </w:r>
      <w:r>
        <w:rPr>
          <w:rtl w:val="true"/>
        </w:rPr>
        <w:t>אוסיף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ואציין</w:t>
      </w:r>
      <w:r>
        <w:rPr>
          <w:rtl w:val="true"/>
        </w:rPr>
        <w:t xml:space="preserve">, </w:t>
      </w:r>
      <w:r>
        <w:rPr>
          <w:rtl w:val="true"/>
        </w:rPr>
        <w:t>לחומרה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. </w:t>
      </w:r>
      <w:r>
        <w:rPr>
          <w:rtl w:val="true"/>
        </w:rPr>
        <w:t>ודוקו</w:t>
      </w:r>
      <w:r>
        <w:rPr>
          <w:rtl w:val="true"/>
        </w:rPr>
        <w:t xml:space="preserve">: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להשמיד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זלזולו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end="0"/>
        <w:jc w:val="both"/>
        <w:rPr>
          <w:rFonts w:ascii="David" w:hAnsi="David" w:cs="David"/>
        </w:rPr>
      </w:pPr>
      <w:r>
        <w:rPr/>
        <w:t>20</w:t>
      </w:r>
      <w:r>
        <w:rPr>
          <w:rtl w:val="true"/>
        </w:rPr>
        <w:t>.</w:t>
        <w:tab/>
      </w:r>
      <w:r>
        <w:rPr>
          <w:rFonts w:ascii="David" w:hAnsi="David"/>
          <w:rtl w:val="true"/>
        </w:rPr>
        <w:t>בחינת מדיניות הענישה הנוהגת בעבירות של החזקה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נשיאה והובלה של נשק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מעלה מנעד רחב של עונשים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הנגזרים בין היתר מסוג הנשק בו עסקינן וממידת המסוכנות הגלומה 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למשל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hyperlink r:id="rId3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5336/13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Miriam" w:hAnsi="Miriam" w:cs="Miriam"/>
          <w:rtl w:val="true"/>
        </w:rPr>
        <w:t>צדוק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17.11.2013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נדחה ערעור על גזר דין בו הוטל עונש של מאסר בפועל בן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בגין נשיאה והובל</w:t>
      </w:r>
      <w:r>
        <w:rPr>
          <w:rFonts w:ascii="David" w:hAnsi="David"/>
          <w:rtl w:val="true"/>
        </w:rPr>
        <w:t>ה של</w:t>
      </w:r>
      <w:r>
        <w:rPr>
          <w:rFonts w:ascii="David" w:hAnsi="David"/>
          <w:rtl w:val="true"/>
        </w:rPr>
        <w:t xml:space="preserve"> מטען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אותו מערער הודה במסגרת של הסדר טיעון בו סוכם שהמדינה תעתור לעונש של 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ב</w:t>
      </w:r>
      <w:hyperlink r:id="rId37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 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3244-06-16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אנגדה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21/12/17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מתוך חמישה נאשמים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הורשע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 פי הודאתו במסגרת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בעבירות של ייצור נשק וסיוע לסחר 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מעובדות כתב האישום המתוקן </w:t>
      </w:r>
      <w:r>
        <w:rPr>
          <w:rFonts w:ascii="David" w:hAnsi="David"/>
          <w:rtl w:val="true"/>
        </w:rPr>
        <w:t xml:space="preserve">באותו תיק </w:t>
      </w:r>
      <w:r>
        <w:rPr>
          <w:rFonts w:ascii="David" w:hAnsi="David"/>
          <w:rtl w:val="true"/>
        </w:rPr>
        <w:t xml:space="preserve">עולה כי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הרכיב שלושה מטעני חבלה מאולתרים אלחוטיים שאוגדו כיחידה אחת בסרט דביק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העביר את המטענים לנאשם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יחד עם</w:t>
      </w:r>
      <w:r>
        <w:rPr>
          <w:rFonts w:ascii="David" w:hAnsi="David"/>
          <w:rtl w:val="true"/>
        </w:rPr>
        <w:t xml:space="preserve"> מערכת הפעלה שהורכבה ממקלט אלחוטי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בהיות אותו נאשם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בגיר צעיר</w:t>
      </w:r>
      <w:r>
        <w:rPr>
          <w:rFonts w:cs="David" w:ascii="David" w:hAnsi="David"/>
          <w:rtl w:val="true"/>
        </w:rPr>
        <w:t xml:space="preserve">"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העמיד בית המשפט את מתחם העונש ההולם 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לבין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בעת גזירת </w:t>
      </w:r>
      <w:r>
        <w:rPr>
          <w:rFonts w:ascii="David" w:hAnsi="David"/>
          <w:rtl w:val="true"/>
        </w:rPr>
        <w:t xml:space="preserve">העונש </w:t>
      </w:r>
      <w:r>
        <w:rPr>
          <w:rFonts w:ascii="David" w:hAnsi="David"/>
          <w:rtl w:val="true"/>
        </w:rPr>
        <w:t>נקבע כי יש לחרוג מהמתחם בשל שיקולי שיקום</w:t>
      </w:r>
      <w:r>
        <w:rPr>
          <w:rFonts w:ascii="David" w:hAnsi="David"/>
          <w:rtl w:val="true"/>
        </w:rPr>
        <w:t xml:space="preserve"> והעונש הועמד על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לאחר ששקלתי את הערכים החברתיים שנפגעו מביצוע העבירות 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נסיבות ביצוע העבירות וכן נתתי דעתי למדיניות הענישה הנהוגה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לפסיקה אליה הפנה כל אחד מהצדדים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אני בדעה כי מתחם העונש ההולם בתיק זה נע בין </w:t>
      </w:r>
      <w:r>
        <w:rPr>
          <w:rFonts w:cs="David" w:ascii="David" w:hAnsi="David"/>
        </w:rPr>
        <w:t>36-18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רכיבי ענישה נלווים ובעיקר מאסר מותנה משמעותי ומרתיע</w:t>
      </w:r>
      <w:r>
        <w:rPr>
          <w:rFonts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במסגרת בחינת הנסיבות שאינן קשורות בביצוע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אציין לקולה את הודאת הנאשם בהזדמנות הראשונה בעובדות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חסכה הן מזמנו היקר של בית המשפט והן את העדת עדי התביעה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אציין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לטובת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את עברו הפלילי הנקי וכן את גילו הצעיר שהרי עסקינן בנאשם בן 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וחצי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דבר המצדיק התייחסות אליו כאל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בגיר צעיר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על כל המשתמע מכך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בנקודה זו אציין כי מטיעוני הסנגור עולה כי הנאשם מצוי לראשונה בחייו במעצר המהווה עבורו חוויה קשה ומרתיעה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לכל אלו אוסיף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נסיבותיו האישיות הקשות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כנטען 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 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לרבות את העובדה ששהה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בפנימיות</w:t>
      </w:r>
      <w:r>
        <w:rPr>
          <w:rFonts w:cs="David" w:ascii="David" w:hAnsi="David"/>
          <w:rtl w:val="true"/>
        </w:rPr>
        <w:t xml:space="preserve">.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שבועות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לחומרה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הערכתו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לגיטימציה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פרוגנוזה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בסיכומו של דבר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דנה את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כדלקמן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1701" w:leader="none"/>
        </w:tabs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למאסר בפועל לתקופה של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בניכוי ימי מעצרו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15/7/20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למאסר על תנאי לתקופה של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למשך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שנים והתנאי הוא לבל יבצע הנאשם עבירה מסוג פשע לפי </w:t>
      </w:r>
      <w:hyperlink r:id="rId38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3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למאסר על תנאי לתקופה של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למשך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שנים והתנאי הוא לבל יבצע הנאשם עבירה מסוג עוון לפי </w:t>
      </w:r>
      <w:hyperlink r:id="rId40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4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 עבירה לפי סימן א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או ג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לפרק ט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לחוק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בהינתן מצבו הכלכלי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מבכרת להיעתר לבקשת ההגנה ולא להשית עליו קנס בתיק זה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אני מחליטה להיעתר לבקשת המאשימה לחילוט רכב המזדה של הנאשם  הרשום על שמו  </w:t>
      </w:r>
      <w:r>
        <w:rPr>
          <w:rFonts w:cs="Miriam" w:ascii="Miriam" w:hAnsi="Miriam"/>
          <w:rtl w:val="true"/>
        </w:rPr>
        <w:t>(</w:t>
      </w:r>
      <w:r>
        <w:rPr>
          <w:rFonts w:ascii="Miriam" w:hAnsi="Miriam" w:cs="Miriam"/>
          <w:rtl w:val="true"/>
        </w:rPr>
        <w:t>ט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2</w:t>
      </w:r>
      <w:r>
        <w:rPr>
          <w:rFonts w:cs="Miriam" w:ascii="Miriam" w:hAnsi="Miriam"/>
          <w:rtl w:val="true"/>
        </w:rPr>
        <w:t xml:space="preserve">) </w:t>
      </w:r>
      <w:r>
        <w:rPr>
          <w:rFonts w:ascii="David" w:hAnsi="David"/>
          <w:rtl w:val="true"/>
        </w:rPr>
        <w:t>בו החזיק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נשא והוביל את הנשק ובאמצעותו נמלט מפני השוטרים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טענת ההגנה כי הרכב משמש את משפחת הנאשם נטענה בלשון רפה מבלי שפורטה כלל ומבלי שנתמכה בראיה כלשהי לביסוסה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בנסיבות 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מורה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מכוח סעיפים </w:t>
      </w:r>
      <w:hyperlink r:id="rId42">
        <w:r>
          <w:rPr>
            <w:rStyle w:val="Hyperlink"/>
            <w:rFonts w:cs="David" w:ascii="David" w:hAnsi="David"/>
          </w:rPr>
          <w:t>32</w:t>
        </w:r>
        <w:r>
          <w:rPr>
            <w:rStyle w:val="Hyperlink"/>
            <w:rFonts w:cs="David" w:ascii="David" w:hAnsi="David"/>
            <w:rtl w:val="true"/>
          </w:rPr>
          <w:t xml:space="preserve"> </w:t>
        </w:r>
        <w:r>
          <w:rPr>
            <w:rStyle w:val="Hyperlink"/>
            <w:rFonts w:ascii="David" w:hAnsi="David"/>
            <w:rtl w:val="true"/>
          </w:rPr>
          <w:t>ו</w:t>
        </w:r>
        <w:r>
          <w:rPr>
            <w:rStyle w:val="Hyperlink"/>
            <w:rFonts w:cs="David" w:ascii="David" w:hAnsi="David"/>
            <w:rtl w:val="true"/>
          </w:rPr>
          <w:t>-</w:t>
        </w:r>
        <w:r>
          <w:rPr>
            <w:rStyle w:val="Hyperlink"/>
            <w:rFonts w:cs="David" w:ascii="David" w:hAnsi="David"/>
          </w:rPr>
          <w:t>39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43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פקודת סדר הדין הפלילי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מעצר וחיפוש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[</w:t>
      </w:r>
      <w:r>
        <w:rPr>
          <w:rFonts w:ascii="David" w:hAnsi="David"/>
          <w:rtl w:val="true"/>
        </w:rPr>
        <w:t>נוסח חדש</w:t>
      </w:r>
      <w:r>
        <w:rPr>
          <w:rFonts w:cs="David" w:ascii="David" w:hAnsi="David"/>
          <w:rtl w:val="true"/>
        </w:rPr>
        <w:t xml:space="preserve">], </w:t>
      </w:r>
      <w:r>
        <w:rPr>
          <w:rFonts w:ascii="David" w:hAnsi="David"/>
          <w:rtl w:val="true"/>
        </w:rPr>
        <w:t>התשכ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ט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1969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חילוט לטובת המדינה של רכב המזדה מ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</w:rPr>
        <w:t>78-534-27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המזכירות תמציא העתק מגזר הדין לשרות המבחן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זכות ערעור לבית המשפט העליון תוך </w:t>
      </w:r>
      <w:r>
        <w:rPr>
          <w:rFonts w:cs="David" w:ascii="David" w:hAnsi="David"/>
          <w:b/>
          <w:bCs/>
        </w:rPr>
        <w:t>45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יום</w:t>
      </w:r>
      <w:r>
        <w:rPr>
          <w:rFonts w:cs="David" w:ascii="David" w:hAnsi="David"/>
          <w:b/>
          <w:bCs/>
          <w:rtl w:val="true"/>
        </w:rPr>
        <w:t xml:space="preserve">.  </w:t>
      </w:r>
    </w:p>
    <w:p>
      <w:pPr>
        <w:pStyle w:val="Normal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bookmarkStart w:id="9" w:name="Nitan"/>
      <w:r>
        <w:rPr>
          <w:rFonts w:cs="David" w:ascii="David" w:hAnsi="David"/>
          <w:color w:val="FFFFFF"/>
          <w:sz w:val="2"/>
          <w:szCs w:val="2"/>
        </w:rPr>
        <w:t>5129371</w:t>
      </w:r>
      <w:r>
        <w:rPr>
          <w:rFonts w:ascii="David" w:hAnsi="David"/>
          <w:rtl w:val="true"/>
        </w:rPr>
        <w:t>ניתן היום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אייר תשפ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אפריל </w:t>
      </w:r>
      <w:r>
        <w:rPr>
          <w:rFonts w:cs="David" w:ascii="David" w:hAnsi="David"/>
        </w:rPr>
        <w:t>2021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במעמד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 ראיד רחאל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</w:t>
      </w:r>
      <w:r>
        <w:rPr>
          <w:rFonts w:cs="David" w:ascii="David" w:hAnsi="David"/>
          <w:rtl w:val="true"/>
        </w:rPr>
        <w:t xml:space="preserve">, </w:t>
      </w:r>
      <w:bookmarkEnd w:id="9"/>
      <w:r>
        <w:rPr>
          <w:rFonts w:ascii="David" w:hAnsi="David"/>
          <w:rtl w:val="true"/>
        </w:rPr>
        <w:t>עו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 ויסאם עראף והנאשם שהובא ב</w:t>
      </w:r>
      <w:r>
        <w:rPr>
          <w:rFonts w:cs="David" w:ascii="David" w:hAnsi="David"/>
        </w:rPr>
        <w:t>VC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 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>.</w:t>
      </w:r>
    </w:p>
    <w:p>
      <w:pPr>
        <w:pStyle w:val="Normal"/>
        <w:ind w:end="0"/>
        <w:jc w:val="both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רונית בש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5"/>
      <w:footerReference w:type="default" r:id="rId4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12520-08-20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רזקאללה חסארמה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Ruller4">
    <w:name w:val="Ruller 4 ממוספר"/>
    <w:basedOn w:val="Normal"/>
    <w:next w:val="Normal"/>
    <w:qFormat/>
    <w:pPr>
      <w:numPr>
        <w:ilvl w:val="0"/>
        <w:numId w:val="2"/>
      </w:numPr>
      <w:overflowPunct w:val="false"/>
      <w:autoSpaceDE w:val="false"/>
      <w:spacing w:lineRule="auto" w:line="360"/>
      <w:jc w:val="both"/>
    </w:pPr>
    <w:rPr>
      <w:rFonts w:ascii="Garamond" w:hAnsi="Garamond" w:cs="FrankRuehl"/>
      <w:spacing w:val="10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40b" TargetMode="External"/><Relationship Id="rId5" Type="http://schemas.openxmlformats.org/officeDocument/2006/relationships/hyperlink" Target="http://www.nevo.co.il/law/70301/40c" TargetMode="External"/><Relationship Id="rId6" Type="http://schemas.openxmlformats.org/officeDocument/2006/relationships/hyperlink" Target="http://www.nevo.co.il/law/70301/40i" TargetMode="External"/><Relationship Id="rId7" Type="http://schemas.openxmlformats.org/officeDocument/2006/relationships/hyperlink" Target="http://www.nevo.co.il/law/70301/144" TargetMode="External"/><Relationship Id="rId8" Type="http://schemas.openxmlformats.org/officeDocument/2006/relationships/hyperlink" Target="http://www.nevo.co.il/law/70301/144.a.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/242" TargetMode="External"/><Relationship Id="rId11" Type="http://schemas.openxmlformats.org/officeDocument/2006/relationships/hyperlink" Target="http://www.nevo.co.il/law/70301/275" TargetMode="External"/><Relationship Id="rId12" Type="http://schemas.openxmlformats.org/officeDocument/2006/relationships/hyperlink" Target="http://www.nevo.co.il/law/70301/40jc.b" TargetMode="External"/><Relationship Id="rId13" Type="http://schemas.openxmlformats.org/officeDocument/2006/relationships/hyperlink" Target="http://www.nevo.co.il/law/74918" TargetMode="External"/><Relationship Id="rId14" Type="http://schemas.openxmlformats.org/officeDocument/2006/relationships/hyperlink" Target="http://www.nevo.co.il/law/74918/32" TargetMode="External"/><Relationship Id="rId15" Type="http://schemas.openxmlformats.org/officeDocument/2006/relationships/hyperlink" Target="http://www.nevo.co.il/law/74918/39" TargetMode="External"/><Relationship Id="rId16" Type="http://schemas.openxmlformats.org/officeDocument/2006/relationships/hyperlink" Target="http://www.nevo.co.il/law/70301/144.a.;144.b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275" TargetMode="External"/><Relationship Id="rId19" Type="http://schemas.openxmlformats.org/officeDocument/2006/relationships/hyperlink" Target="http://www.nevo.co.il/law/70301/242" TargetMode="External"/><Relationship Id="rId20" Type="http://schemas.openxmlformats.org/officeDocument/2006/relationships/hyperlink" Target="http://www.nevo.co.il/law/70301/25" TargetMode="External"/><Relationship Id="rId21" Type="http://schemas.openxmlformats.org/officeDocument/2006/relationships/hyperlink" Target="http://www.nevo.co.il/case/23009435" TargetMode="External"/><Relationship Id="rId22" Type="http://schemas.openxmlformats.org/officeDocument/2006/relationships/hyperlink" Target="http://www.nevo.co.il/case/24305289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40b" TargetMode="External"/><Relationship Id="rId25" Type="http://schemas.openxmlformats.org/officeDocument/2006/relationships/hyperlink" Target="http://www.nevo.co.il/case/6243627" TargetMode="External"/><Relationship Id="rId26" Type="http://schemas.openxmlformats.org/officeDocument/2006/relationships/hyperlink" Target="http://www.nevo.co.il/law/70301/40c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40i" TargetMode="External"/><Relationship Id="rId29" Type="http://schemas.openxmlformats.org/officeDocument/2006/relationships/hyperlink" Target="http://www.nevo.co.il/law/70301/40jc.b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case/5573417" TargetMode="External"/><Relationship Id="rId32" Type="http://schemas.openxmlformats.org/officeDocument/2006/relationships/hyperlink" Target="http://www.nevo.co.il/case/13093721" TargetMode="External"/><Relationship Id="rId33" Type="http://schemas.openxmlformats.org/officeDocument/2006/relationships/hyperlink" Target="http://www.nevo.co.il/case/5601503" TargetMode="External"/><Relationship Id="rId34" Type="http://schemas.openxmlformats.org/officeDocument/2006/relationships/hyperlink" Target="http://www.nevo.co.il/case/25824863" TargetMode="External"/><Relationship Id="rId35" Type="http://schemas.openxmlformats.org/officeDocument/2006/relationships/hyperlink" Target="http://www.nevo.co.il/case/22006503" TargetMode="External"/><Relationship Id="rId36" Type="http://schemas.openxmlformats.org/officeDocument/2006/relationships/hyperlink" Target="http://www.nevo.co.il/case/7821883" TargetMode="External"/><Relationship Id="rId37" Type="http://schemas.openxmlformats.org/officeDocument/2006/relationships/hyperlink" Target="http://www.nevo.co.il/case/21943447" TargetMode="External"/><Relationship Id="rId38" Type="http://schemas.openxmlformats.org/officeDocument/2006/relationships/hyperlink" Target="http://www.nevo.co.il/law/70301/144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0301/144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law/74918/32;39" TargetMode="External"/><Relationship Id="rId43" Type="http://schemas.openxmlformats.org/officeDocument/2006/relationships/hyperlink" Target="http://www.nevo.co.il/law/74918" TargetMode="External"/><Relationship Id="rId44" Type="http://schemas.openxmlformats.org/officeDocument/2006/relationships/hyperlink" Target="http://www.nevo.co.il/advertisements/nevo-100.doc" TargetMode="External"/><Relationship Id="rId45" Type="http://schemas.openxmlformats.org/officeDocument/2006/relationships/header" Target="header1.xml"/><Relationship Id="rId46" Type="http://schemas.openxmlformats.org/officeDocument/2006/relationships/footer" Target="footer1.xml"/><Relationship Id="rId47" Type="http://schemas.openxmlformats.org/officeDocument/2006/relationships/numbering" Target="numbering.xml"/><Relationship Id="rId48" Type="http://schemas.openxmlformats.org/officeDocument/2006/relationships/fontTable" Target="fontTable.xml"/><Relationship Id="rId49" Type="http://schemas.openxmlformats.org/officeDocument/2006/relationships/settings" Target="settings.xml"/><Relationship Id="rId5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2022-02-23T11:30:00Z</dcterms:created>
  <dc:creator> </dc:creator>
  <dc:description/>
  <cp:keywords/>
  <dc:language>en-IL</dc:language>
  <cp:lastModifiedBy>h1</cp:lastModifiedBy>
  <dcterms:modified xsi:type="dcterms:W3CDTF">2022-02-23T11:30:00Z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רזקאללה חסארמה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23009435;24305289;6243627;5573417;13093721;5601503;25824863;22006503;7821883;21943447</vt:lpwstr>
  </property>
  <property fmtid="{D5CDD505-2E9C-101B-9397-08002B2CF9AE}" pid="9" name="CITY">
    <vt:lpwstr>חי'</vt:lpwstr>
  </property>
  <property fmtid="{D5CDD505-2E9C-101B-9397-08002B2CF9AE}" pid="10" name="DATE">
    <vt:lpwstr>20210418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רונית בש</vt:lpwstr>
  </property>
  <property fmtid="{D5CDD505-2E9C-101B-9397-08002B2CF9AE}" pid="14" name="LAWLISTTMP1">
    <vt:lpwstr>70301/144.a;144.b;275;242;025;040b;040c;040i;40jc.b;144:2</vt:lpwstr>
  </property>
  <property fmtid="{D5CDD505-2E9C-101B-9397-08002B2CF9AE}" pid="15" name="LAWLISTTMP2">
    <vt:lpwstr>74918/032;039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12520</vt:lpwstr>
  </property>
  <property fmtid="{D5CDD505-2E9C-101B-9397-08002B2CF9AE}" pid="23" name="NEWPARTB">
    <vt:lpwstr>08</vt:lpwstr>
  </property>
  <property fmtid="{D5CDD505-2E9C-101B-9397-08002B2CF9AE}" pid="24" name="NEWPARTC">
    <vt:lpwstr>20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390020210418</vt:lpwstr>
  </property>
  <property fmtid="{D5CDD505-2E9C-101B-9397-08002B2CF9AE}" pid="35" name="TYPE_N_DATE">
    <vt:lpwstr>39020210418</vt:lpwstr>
  </property>
  <property fmtid="{D5CDD505-2E9C-101B-9397-08002B2CF9AE}" pid="36" name="VOLUME">
    <vt:lpwstr/>
  </property>
  <property fmtid="{D5CDD505-2E9C-101B-9397-08002B2CF9AE}" pid="37" name="WORDNUMPAGES">
    <vt:lpwstr>8</vt:lpwstr>
  </property>
</Properties>
</file>