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12538-03-10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המדינה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מחלקה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כללית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קלקודה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12642-03-10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המדינה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מחלקה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כללית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אירועים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תו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12717-03-10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המדינה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מחלקה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כללית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עופרה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אורנשטיין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צעצועי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כוכב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אשכנזי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אלברט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רביע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טולס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אר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די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רחל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דדוש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גדעון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_GoBack"/>
      <w:bookmarkStart w:id="6" w:name="LawTable"/>
      <w:bookmarkStart w:id="7" w:name="_GoBack"/>
      <w:bookmarkEnd w:id="6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ה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ascii="FrankRuehl" w:hAnsi="FrankRuehl" w:cs="FrankRuehl"/>
            <w:rtl w:val="true"/>
          </w:rPr>
          <w:t>תוספת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156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204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204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204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208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208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253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4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ח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</w:rPr>
          <w:t>61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</w:rPr>
          <w:t>63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5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6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Cs/>
                <w:sz w:val="32"/>
                <w:szCs w:val="32"/>
              </w:rPr>
            </w:pPr>
            <w:bookmarkStart w:id="10" w:name="PsakDin"/>
            <w:r>
              <w:rPr>
                <w:rFonts w:ascii="Arial" w:hAnsi="Arial" w:cs="FrankRuehl"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Cs/>
                <w:sz w:val="32"/>
                <w:sz w:val="32"/>
                <w:szCs w:val="32"/>
                <w:rtl w:val="true"/>
              </w:rPr>
              <w:t>דין</w:t>
            </w:r>
            <w:r>
              <w:rPr>
                <w:rFonts w:ascii="Arial" w:hAnsi="Arial" w:eastAsia="Arial" w:cs="Arial"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Cs/>
                <w:sz w:val="32"/>
                <w:sz w:val="32"/>
                <w:szCs w:val="32"/>
                <w:rtl w:val="true"/>
              </w:rPr>
              <w:t>בתיק</w:t>
            </w:r>
            <w:r>
              <w:rPr>
                <w:rFonts w:ascii="Arial" w:hAnsi="Arial" w:eastAsia="Arial" w:cs="Arial"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Cs/>
                <w:sz w:val="32"/>
                <w:sz w:val="32"/>
                <w:szCs w:val="32"/>
                <w:rtl w:val="true"/>
              </w:rPr>
              <w:t>מס</w:t>
            </w:r>
            <w:r>
              <w:rPr>
                <w:rFonts w:cs="FrankRuehl" w:ascii="Arial" w:hAnsi="Arial"/>
                <w:bCs/>
                <w:sz w:val="32"/>
                <w:szCs w:val="32"/>
                <w:rtl w:val="true"/>
              </w:rPr>
              <w:t xml:space="preserve">' </w:t>
            </w:r>
            <w:r>
              <w:rPr>
                <w:rFonts w:cs="FrankRuehl" w:ascii="Arial" w:hAnsi="Arial"/>
                <w:bCs/>
                <w:sz w:val="32"/>
                <w:szCs w:val="32"/>
              </w:rPr>
              <w:t>12717-03</w:t>
            </w:r>
            <w:bookmarkEnd w:id="10"/>
            <w:r>
              <w:rPr>
                <w:rFonts w:cs="FrankRuehl" w:ascii="Arial" w:hAnsi="Arial"/>
                <w:bCs/>
                <w:sz w:val="32"/>
                <w:szCs w:val="32"/>
              </w:rPr>
              <w:t>-10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5-1</w:t>
      </w:r>
      <w:r>
        <w:rPr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ובסט</w:t>
      </w:r>
      <w:r>
        <w:rPr>
          <w:rtl w:val="true"/>
        </w:rPr>
        <w:t>י</w:t>
      </w:r>
      <w:r>
        <w:rPr>
          <w:rtl w:val="true"/>
        </w:rPr>
        <w:t>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145</w:t>
        </w:r>
      </w:hyperlink>
      <w:r>
        <w:rPr>
          <w:rtl w:val="true"/>
        </w:rPr>
        <w:t xml:space="preserve">, </w:t>
      </w:r>
      <w:hyperlink r:id="rId29">
        <w:r>
          <w:rPr>
            <w:rStyle w:val="Hyperlink"/>
          </w:rPr>
          <w:t>156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, </w:t>
      </w:r>
      <w:hyperlink r:id="rId30">
        <w:r>
          <w:rPr>
            <w:rStyle w:val="Hyperlink"/>
          </w:rPr>
          <w:t>204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31">
        <w:r>
          <w:rPr>
            <w:rStyle w:val="Hyperlink"/>
          </w:rPr>
          <w:t>208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2">
        <w:r>
          <w:rPr>
            <w:rStyle w:val="Hyperlink"/>
          </w:rPr>
          <w:t>253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1965</w:t>
      </w:r>
      <w:bookmarkStart w:id="12" w:name="ABSTRACT_END"/>
      <w:bookmarkEnd w:id="12"/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בצעצועים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6.7.09</w:t>
      </w:r>
      <w:r>
        <w:rPr>
          <w:rtl w:val="true"/>
        </w:rPr>
        <w:t xml:space="preserve"> </w:t>
      </w:r>
      <w:r>
        <w:rPr>
          <w:rtl w:val="true"/>
        </w:rPr>
        <w:t>במבנה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ששטחו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כחלקה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 xml:space="preserve"> </w:t>
      </w:r>
      <w:r>
        <w:rPr>
          <w:rtl w:val="true"/>
        </w:rPr>
        <w:t>בגוש</w:t>
      </w:r>
      <w:r>
        <w:rPr>
          <w:rFonts w:cs="Times New Roman"/>
          <w:rtl w:val="true"/>
        </w:rPr>
        <w:t xml:space="preserve"> </w:t>
      </w:r>
      <w:r>
        <w:rPr/>
        <w:t>5715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5716</w:t>
      </w:r>
      <w:r>
        <w:rPr>
          <w:rtl w:val="true"/>
        </w:rPr>
        <w:t xml:space="preserve"> </w:t>
      </w:r>
      <w:r>
        <w:rPr>
          <w:rtl w:val="true"/>
        </w:rPr>
        <w:t>הידועים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המקרקעין</w:t>
      </w:r>
      <w:r>
        <w:rPr>
          <w:rtl w:val="true"/>
        </w:rPr>
        <w:t xml:space="preserve">).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מר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31.8.06</w:t>
      </w:r>
      <w:r>
        <w:rPr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כמשרד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ששטחו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המבנה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87</w:t>
      </w:r>
      <w:r>
        <w:rPr>
          <w:rtl w:val="true"/>
        </w:rPr>
        <w:t xml:space="preserve"> </w:t>
      </w:r>
      <w:r>
        <w:rPr>
          <w:rtl w:val="true"/>
        </w:rPr>
        <w:t>בגושים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כמשק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טרומן</w:t>
      </w:r>
      <w:r>
        <w:rPr>
          <w:rtl w:val="true"/>
        </w:rPr>
        <w:t xml:space="preserve">.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tl w:val="true"/>
        </w:rPr>
        <w:t xml:space="preserve">, 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/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שאושרה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11.5.87</w:t>
      </w:r>
      <w:r>
        <w:rPr>
          <w:rtl w:val="true"/>
        </w:rPr>
        <w:t xml:space="preserve"> </w:t>
      </w:r>
      <w:r>
        <w:rPr>
          <w:rtl w:val="true"/>
        </w:rPr>
        <w:t>ותוכנית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/</w:t>
      </w:r>
      <w:r>
        <w:rPr/>
        <w:t>40/1</w:t>
      </w:r>
      <w:r>
        <w:rPr>
          <w:rtl w:val="true"/>
        </w:rPr>
        <w:t xml:space="preserve">, </w:t>
      </w:r>
      <w:r>
        <w:rPr>
          <w:rtl w:val="true"/>
        </w:rPr>
        <w:t>שאושרה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12.5.83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וייעודם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</w:t>
      </w:r>
      <w:r>
        <w:rPr>
          <w:rtl w:val="true"/>
        </w:rPr>
        <w:t>ק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הוכרזו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</w:t>
      </w:r>
      <w:r>
        <w:rPr>
          <w:rtl w:val="true"/>
        </w:rPr>
        <w:t>ל</w:t>
      </w:r>
      <w:r>
        <w:rPr>
          <w:rtl w:val="true"/>
        </w:rPr>
        <w:t>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rtl w:val="true"/>
          </w:rPr>
          <w:t>תוספת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1965</w:t>
      </w:r>
      <w:r>
        <w:rPr>
          <w:rtl w:val="true"/>
        </w:rPr>
        <w:t xml:space="preserve">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פרסומים</w:t>
      </w:r>
      <w:r>
        <w:rPr>
          <w:rFonts w:cs="Times New Roman"/>
          <w:rtl w:val="true"/>
        </w:rPr>
        <w:t xml:space="preserve"> </w:t>
      </w:r>
      <w:r>
        <w:rPr/>
        <w:t>4963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19.2.01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150,000</w:t>
      </w:r>
      <w:r>
        <w:rPr>
          <w:rtl w:val="true"/>
        </w:rPr>
        <w:t xml:space="preserve"> ₪ </w:t>
      </w:r>
      <w:r>
        <w:rPr>
          <w:rtl w:val="true"/>
        </w:rPr>
        <w:t>ו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120,000</w:t>
      </w:r>
      <w:r>
        <w:rPr>
          <w:rtl w:val="true"/>
        </w:rPr>
        <w:t xml:space="preserve"> ₪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40,000</w:t>
      </w:r>
      <w:r>
        <w:rPr>
          <w:rtl w:val="true"/>
        </w:rPr>
        <w:t xml:space="preserve"> ₪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70,000</w:t>
      </w:r>
      <w:r>
        <w:rPr>
          <w:rtl w:val="true"/>
        </w:rPr>
        <w:t xml:space="preserve"> ₪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center"/>
        <w:rPr>
          <w:bCs/>
        </w:rPr>
      </w:pPr>
      <w:r>
        <w:rPr>
          <w:bCs/>
          <w:rtl w:val="true"/>
        </w:rPr>
        <w:t>המנהלת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קנס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בסך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של</w:t>
      </w:r>
      <w:r>
        <w:rPr>
          <w:rFonts w:cs="Times New Roman"/>
          <w:bCs/>
          <w:rtl w:val="true"/>
        </w:rPr>
        <w:t xml:space="preserve"> </w:t>
      </w:r>
      <w:r>
        <w:rPr>
          <w:bCs/>
        </w:rPr>
        <w:t>20,000</w:t>
      </w:r>
      <w:r>
        <w:rPr>
          <w:bCs/>
          <w:rtl w:val="true"/>
        </w:rPr>
        <w:t xml:space="preserve"> ₪. </w:t>
      </w:r>
      <w:r>
        <w:rPr>
          <w:bCs/>
          <w:rtl w:val="true"/>
        </w:rPr>
        <w:t>בנוסף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לגבי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נאשמים</w:t>
      </w:r>
      <w:r>
        <w:rPr>
          <w:rFonts w:cs="Times New Roman"/>
          <w:bCs/>
          <w:rtl w:val="true"/>
        </w:rPr>
        <w:t xml:space="preserve"> </w:t>
      </w:r>
      <w:r>
        <w:rPr>
          <w:bCs/>
        </w:rPr>
        <w:t>4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ו</w:t>
      </w:r>
      <w:r>
        <w:rPr>
          <w:bCs/>
          <w:rtl w:val="true"/>
        </w:rPr>
        <w:t>-</w:t>
      </w:r>
      <w:r>
        <w:rPr>
          <w:bCs/>
        </w:rPr>
        <w:t>5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המאשימה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עתרה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לצו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הפסקת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3000</w:t>
      </w:r>
      <w:r>
        <w:rPr>
          <w:rtl w:val="true"/>
        </w:rPr>
        <w:t xml:space="preserve"> ₪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2.7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ותדפיס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2700</w:t>
      </w:r>
      <w:r>
        <w:rPr>
          <w:rtl w:val="true"/>
        </w:rPr>
        <w:t xml:space="preserve"> ₪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וזקוקה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12975-03-10</w:t>
        </w:r>
      </w:hyperlink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12881-03-10</w:t>
        </w:r>
      </w:hyperlink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5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שתחילה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39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2885/08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הועדה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המקומית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לתכנון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ובניה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מוסא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דכה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],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22.11.09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רובינשטיין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40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8986/06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סוזה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],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18.2.07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ובראן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ללמדך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cs="David"/>
          <w:rtl w:val="true"/>
        </w:rPr>
        <w:t>.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6</w:t>
      </w:r>
      <w:r>
        <w:rPr>
          <w:rFonts w:cs="David"/>
          <w:rtl w:val="true"/>
        </w:rPr>
        <w:t>.</w:t>
        <w:tab/>
      </w:r>
      <w:hyperlink r:id="rId41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204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hyperlink r:id="rId42"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ג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43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התכנון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והבניה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1965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כדלקמן</w:t>
      </w:r>
      <w:r>
        <w:rPr>
          <w:rFonts w:cs="David"/>
          <w:rtl w:val="true"/>
        </w:rPr>
        <w:t>: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1140" w:start="2880" w:end="0"/>
        <w:jc w:val="both"/>
        <w:rPr>
          <w:rFonts w:cs="David"/>
        </w:rPr>
      </w:pPr>
      <w:r>
        <w:rPr>
          <w:rFonts w:cs="David"/>
          <w:rtl w:val="true"/>
        </w:rPr>
        <w:t>"</w:t>
      </w:r>
      <w:r>
        <w:rPr>
          <w:rFonts w:cs="David"/>
        </w:rPr>
        <w:t>204</w:t>
      </w:r>
      <w:r>
        <w:rPr>
          <w:rFonts w:cs="David"/>
          <w:rtl w:val="true"/>
        </w:rPr>
        <w:tab/>
        <w:t>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המבצע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ושביצוע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הרשעתו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start="2880" w:end="0"/>
        <w:jc w:val="both"/>
        <w:rPr>
          <w:rFonts w:cs="David"/>
        </w:rPr>
      </w:pPr>
      <w:r>
        <w:rPr>
          <w:rFonts w:cs="David"/>
          <w:rtl w:val="true"/>
        </w:rPr>
        <w:t>(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המשתמש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הרשעתו</w:t>
      </w:r>
      <w:r>
        <w:rPr>
          <w:rFonts w:cs="David"/>
          <w:rtl w:val="true"/>
        </w:rPr>
        <w:t xml:space="preserve">".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7</w:t>
      </w:r>
      <w:r>
        <w:rPr>
          <w:rFonts w:cs="David"/>
          <w:rtl w:val="true"/>
        </w:rPr>
        <w:t>.</w:t>
        <w:tab/>
      </w:r>
      <w:hyperlink r:id="rId44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208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45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התכנון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והבניה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</w:t>
      </w:r>
      <w:r>
        <w:rPr>
          <w:rtl w:val="true"/>
        </w:rPr>
        <w:t xml:space="preserve"> </w:t>
      </w:r>
      <w:r>
        <w:rPr>
          <w:rFonts w:cs="David"/>
        </w:rPr>
        <w:t>1965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46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204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בעלים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שהוכרז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המקרקעין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והאחראי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וסוכניו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hyperlink r:id="rId47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208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48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התכנון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והבניה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נאשמת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49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204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>.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8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הסמכות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נוסף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מופיעה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50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61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ג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51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1400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אוצרות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אלמנט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ההיגיון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להרתיע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ליטול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שצמח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בכיסו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רלוונטית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לענייננו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hyperlink r:id="rId52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63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53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כדלקמן</w:t>
      </w:r>
      <w:r>
        <w:rPr>
          <w:rFonts w:cs="David"/>
          <w:rtl w:val="true"/>
        </w:rPr>
        <w:t>: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start="2880" w:end="0"/>
        <w:jc w:val="both"/>
        <w:rPr>
          <w:rFonts w:cs="David"/>
        </w:rPr>
      </w:pPr>
      <w:r>
        <w:rPr>
          <w:rFonts w:cs="David"/>
          <w:rtl w:val="true"/>
        </w:rPr>
        <w:t>"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שמתכוון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רשאי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שהושגה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בחיקוק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שבהם</w:t>
      </w:r>
      <w:r>
        <w:rPr>
          <w:rFonts w:cs="David"/>
          <w:rtl w:val="true"/>
        </w:rPr>
        <w:t>".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9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</w:t>
      </w:r>
      <w:hyperlink r:id="rId54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4679/10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שמשון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עיריית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],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1.8.11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hyperlink r:id="rId55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63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56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57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התכנון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והבניה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</w:rPr>
        <w:t>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דנצינגר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58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63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59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שהושגה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בפועל</w:t>
      </w:r>
      <w:r>
        <w:rPr>
          <w:u w:val="single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שהושגה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10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מידת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האשם</w:t>
      </w:r>
      <w:r>
        <w:rPr>
          <w:rFonts w:cs="David"/>
          <w:b/>
          <w:bCs/>
          <w:rtl w:val="true"/>
        </w:rPr>
        <w:t>"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מידת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הנזק</w:t>
      </w:r>
      <w:r>
        <w:rPr>
          <w:rFonts w:cs="David"/>
          <w:b/>
          <w:bCs/>
          <w:rtl w:val="true"/>
        </w:rPr>
        <w:t>"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60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ט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</w:t>
        </w:r>
      </w:hyperlink>
      <w:hyperlink r:id="rId61">
        <w:r>
          <w:rPr>
            <w:rStyle w:val="Hyperlink"/>
            <w:rFonts w:cs="David"/>
            <w:rtl w:val="true"/>
          </w:rPr>
          <w:t>(</w:t>
        </w:r>
      </w:hyperlink>
      <w:r>
        <w:rPr>
          <w:rStyle w:val="Hyperlink"/>
          <w:rFonts w:cs="David"/>
        </w:rPr>
        <w:t>3</w:t>
      </w:r>
      <w:r>
        <w:rPr>
          <w:rStyle w:val="Hyperlink"/>
          <w:rFonts w:cs="David"/>
          <w:rtl w:val="true"/>
        </w:rPr>
        <w:t>)</w:t>
      </w:r>
      <w:hyperlink r:id="rId62">
        <w:r>
          <w:rPr>
            <w:rStyle w:val="Hyperlink"/>
            <w:rFonts w:cs="David"/>
            <w:rtl w:val="true"/>
          </w:rPr>
          <w:t>(</w:t>
        </w:r>
      </w:hyperlink>
      <w:r>
        <w:rPr>
          <w:rStyle w:val="Hyperlink"/>
          <w:rFonts w:cs="David"/>
        </w:rPr>
        <w:t>4</w:t>
      </w:r>
      <w:r>
        <w:rPr>
          <w:rStyle w:val="Hyperlink"/>
          <w:rFonts w:cs="David"/>
          <w:rtl w:val="true"/>
        </w:rPr>
        <w:t>)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63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יוכרעו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הפרמטרים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שלהלן</w:t>
      </w:r>
      <w:r>
        <w:rPr>
          <w:rFonts w:cs="David"/>
          <w:rtl w:val="true"/>
        </w:rPr>
        <w:t>:</w:t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1"/>
        </w:numPr>
        <w:bidi w:val="1"/>
        <w:spacing w:lineRule="auto" w:line="360"/>
        <w:ind w:hanging="360" w:start="1440" w:end="0"/>
        <w:jc w:val="both"/>
        <w:rPr>
          <w:rFonts w:cs="David"/>
        </w:rPr>
      </w:pPr>
      <w:r>
        <w:rPr>
          <w:rFonts w:cs="David"/>
          <w:u w:val="single"/>
          <w:rtl w:val="true"/>
        </w:rPr>
        <w:t>הנזק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שנגרם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למטרות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מסחריות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והערך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החברתי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המוגן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הסביבה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64">
        <w:r>
          <w:rPr>
            <w:rStyle w:val="Hyperlink"/>
            <w:rFonts w:cs="David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ג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hyperlink r:id="rId65"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ט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3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hyperlink r:id="rId66"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4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ל</w:t>
      </w:r>
      <w:hyperlink r:id="rId67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הטבע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הסביבה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המסופקת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68">
        <w:r>
          <w:rPr>
            <w:rStyle w:val="Hyperlink"/>
            <w:rFonts w:cs="David"/>
            <w:rtl w:val="true"/>
          </w:rPr>
          <w:t>עע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מ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10277/06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חברת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פנינת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אילת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מ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הועדה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המחוזית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לתכנון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והבניה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מחוז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הדרום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15.9.10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ארבל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start="144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1"/>
        </w:numPr>
        <w:bidi w:val="1"/>
        <w:spacing w:lineRule="auto" w:line="360"/>
        <w:ind w:hanging="360" w:start="1440" w:end="0"/>
        <w:jc w:val="both"/>
        <w:rPr>
          <w:rFonts w:cs="David"/>
        </w:rPr>
      </w:pPr>
      <w:r>
        <w:rPr>
          <w:rFonts w:cs="David"/>
          <w:u w:val="single"/>
          <w:rtl w:val="true"/>
        </w:rPr>
        <w:t>גודל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ואורך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69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8701/08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מלכה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וונש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הועדה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המקומית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תכנון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ובניה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3.6.09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ובראן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עמוד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להחלטה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2,1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</w:rPr>
        <w:t>1,000</w:t>
      </w:r>
      <w:r>
        <w:rPr>
          <w:rFonts w:cs="David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נמשך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כשנה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</w:rPr>
        <w:t>9</w:t>
      </w:r>
      <w:r>
        <w:rPr>
          <w:rFonts w:cs="David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לערך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בשטח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</w:rPr>
        <w:t>200</w:t>
      </w:r>
      <w:r>
        <w:rPr>
          <w:rFonts w:cs="David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למשרד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ועוד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</w:rPr>
        <w:t>100</w:t>
      </w:r>
      <w:r>
        <w:rPr>
          <w:rFonts w:cs="David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כחניה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  <w:u w:val="single"/>
        </w:rPr>
        <w:t>6</w:t>
      </w:r>
      <w:r>
        <w:rPr>
          <w:rFonts w:cs="David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שנים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ושמונה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חודשים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start="144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11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בפסיקתו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בהיקף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נרחב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נלוות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רלוונטיות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למשל</w:t>
      </w:r>
      <w:r>
        <w:rPr>
          <w:rFonts w:cs="David"/>
          <w:rtl w:val="true"/>
        </w:rPr>
        <w:t xml:space="preserve">: </w:t>
      </w:r>
      <w:hyperlink r:id="rId70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8701/08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מלכה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וונש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ואח</w:t>
      </w:r>
      <w:r>
        <w:rPr>
          <w:rFonts w:cs="David"/>
          <w:b/>
          <w:bCs/>
          <w:rtl w:val="true"/>
        </w:rPr>
        <w:t>'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הוועדה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המקומית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לתכנון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והבניה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3.6.09</w:t>
      </w:r>
      <w:r>
        <w:rPr>
          <w:rFonts w:cs="David"/>
          <w:rtl w:val="true"/>
        </w:rPr>
        <w:t xml:space="preserve">; </w:t>
      </w:r>
      <w:hyperlink r:id="rId71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2330/09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נוסטרדמוס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מסעדות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מ</w:t>
      </w:r>
      <w:r>
        <w:rPr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הוועדה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המקומית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לתכנון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ובניה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חבל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מודיעין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9.6.09</w:t>
      </w:r>
      <w:r>
        <w:rPr>
          <w:rFonts w:cs="David"/>
          <w:rtl w:val="true"/>
        </w:rPr>
        <w:t xml:space="preserve">; </w:t>
      </w:r>
      <w:hyperlink r:id="rId72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1417/12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אחוזת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הברון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24.6.12</w:t>
      </w:r>
      <w:r>
        <w:rPr>
          <w:rFonts w:cs="David"/>
          <w:rtl w:val="true"/>
        </w:rPr>
        <w:t xml:space="preserve">; </w:t>
      </w:r>
      <w:hyperlink r:id="rId73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4380/12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מנשה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אביב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12.7.12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גזרי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ובסטיה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מתאר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הרלוונטית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רלוונט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לענייננו</w:t>
      </w:r>
      <w:r>
        <w:rPr>
          <w:rFonts w:cs="David"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בשינויים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השטח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Fonts w:cs="David"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והנסיבות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ונאשם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גזרי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רלוונטיים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לענייננו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אחידות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זהות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לגבי</w:t>
      </w:r>
      <w:r>
        <w:rPr>
          <w:u w:val="single"/>
          <w:rtl w:val="true"/>
        </w:rPr>
        <w:t xml:space="preserve"> </w:t>
      </w:r>
      <w:hyperlink r:id="rId74">
        <w:r>
          <w:rPr>
            <w:rStyle w:val="Hyperlink"/>
            <w:rFonts w:cs="David"/>
            <w:rtl w:val="true"/>
          </w:rPr>
          <w:t>ת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12975-03-10</w:t>
        </w:r>
      </w:hyperlink>
      <w:r>
        <w:rPr>
          <w:rFonts w:cs="David"/>
          <w:u w:val="single"/>
          <w:rtl w:val="true"/>
        </w:rPr>
        <w:t xml:space="preserve">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13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>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סוכנויות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אליעזר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בהתאמה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ומנהלה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שהחזיקו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</w:rPr>
        <w:t>590</w:t>
      </w:r>
      <w:r>
        <w:rPr>
          <w:rFonts w:cs="David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ומחסן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לציוד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מחודש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מרץ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</w:rPr>
        <w:t>2009</w:t>
      </w:r>
      <w:r>
        <w:rPr>
          <w:rFonts w:cs="David"/>
          <w:u w:val="single"/>
          <w:rtl w:val="true"/>
        </w:rPr>
        <w:t>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נדונו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2.12.12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למלוא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סבל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רפואיות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ללשכות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הפסיק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משנתיים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בהסכמת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נאשמת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שפעילותה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בהליכי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פירוק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ולנאשם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u w:val="single"/>
        </w:rPr>
        <w:t>10,000</w:t>
      </w:r>
      <w:r>
        <w:rPr>
          <w:rFonts w:cs="David"/>
          <w:u w:val="single"/>
          <w:rtl w:val="true"/>
        </w:rPr>
        <w:t xml:space="preserve"> ₪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תשלומים</w:t>
      </w:r>
      <w:r>
        <w:rPr>
          <w:rFonts w:cs="David"/>
          <w:rtl w:val="true"/>
        </w:rPr>
        <w:t>.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14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נאשמת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אניווי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עיצוב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סביבתיים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עוסקת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והחזיקה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  <w:u w:val="single"/>
        </w:rPr>
        <w:t>150</w:t>
      </w:r>
      <w:r>
        <w:rPr>
          <w:rFonts w:cs="David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ששימשו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מיום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</w:rPr>
        <w:t>6.7.09</w:t>
      </w:r>
      <w:r>
        <w:rPr>
          <w:rFonts w:cs="David"/>
          <w:u w:val="single"/>
          <w:rtl w:val="true"/>
        </w:rPr>
        <w:t>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הצהיר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בהסכמה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פינתה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הובהר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2.12.12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u w:val="single"/>
        </w:rPr>
        <w:t>10,000</w:t>
      </w:r>
      <w:r>
        <w:rPr>
          <w:rFonts w:cs="David"/>
          <w:u w:val="single"/>
          <w:rtl w:val="true"/>
        </w:rPr>
        <w:t xml:space="preserve"> ₪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חתימה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הבסיס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פינתה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וזימן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לחקירה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15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גולובינסקי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כ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</w:rPr>
        <w:t>250</w:t>
      </w:r>
      <w:r>
        <w:rPr>
          <w:rFonts w:cs="David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כ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</w:rPr>
        <w:t>15</w:t>
      </w:r>
      <w:r>
        <w:rPr>
          <w:rFonts w:cs="David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לאחסון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ומכירת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פעמיים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  <w:u w:val="single"/>
        </w:rPr>
        <w:t>10</w:t>
      </w:r>
      <w:r>
        <w:rPr>
          <w:rFonts w:cs="David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28.11.11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הטלתי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u w:val="single"/>
        </w:rPr>
        <w:t>30,000</w:t>
      </w:r>
      <w:r>
        <w:rPr>
          <w:rFonts w:cs="David"/>
          <w:u w:val="single"/>
          <w:rtl w:val="true"/>
        </w:rPr>
        <w:t xml:space="preserve"> ₪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חתימה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במבנים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לתוקפו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בתום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75">
        <w:r>
          <w:rPr>
            <w:rStyle w:val="Hyperlink"/>
            <w:rFonts w:cs="David"/>
            <w:rtl w:val="true"/>
          </w:rPr>
          <w:t>עפ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52086-12-11</w:t>
        </w:r>
      </w:hyperlink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והערעור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20.2.12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בכפוף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תשלומים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יובהר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לגבי</w:t>
      </w:r>
      <w:r>
        <w:rPr>
          <w:u w:val="single"/>
          <w:rtl w:val="true"/>
        </w:rPr>
        <w:t xml:space="preserve"> </w:t>
      </w:r>
      <w:hyperlink r:id="rId76">
        <w:r>
          <w:rPr>
            <w:rStyle w:val="Hyperlink"/>
            <w:rFonts w:cs="David"/>
            <w:rtl w:val="true"/>
          </w:rPr>
          <w:t>ת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12881-03-10</w:t>
        </w:r>
      </w:hyperlink>
      <w:r>
        <w:rPr>
          <w:rFonts w:cs="David"/>
          <w:u w:val="single"/>
          <w:rtl w:val="true"/>
        </w:rPr>
        <w:t xml:space="preserve">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16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והמנהלת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והגב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נורית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אילנה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בהתאמה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החזיקו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31.8.06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בסככת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כ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</w:rPr>
        <w:t>150</w:t>
      </w:r>
      <w:r>
        <w:rPr>
          <w:rFonts w:cs="David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כחניית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טרומן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נאשמת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u w:val="single"/>
        </w:rPr>
        <w:t>20,000</w:t>
      </w:r>
      <w:r>
        <w:rPr>
          <w:rFonts w:cs="David"/>
          <w:u w:val="single"/>
          <w:rtl w:val="true"/>
        </w:rPr>
        <w:t xml:space="preserve"> </w:t>
      </w:r>
      <w:r>
        <w:rPr>
          <w:rFonts w:cs="David"/>
          <w:rtl w:val="true"/>
        </w:rPr>
        <w:t xml:space="preserve">₪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נאשמת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u w:val="single"/>
        </w:rPr>
        <w:t>10,000</w:t>
      </w:r>
      <w:r>
        <w:rPr>
          <w:rFonts w:cs="David"/>
          <w:u w:val="single"/>
          <w:rtl w:val="true"/>
        </w:rPr>
        <w:t xml:space="preserve"> ₪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מהנאשמות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נדרשה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u w:val="single"/>
        </w:rPr>
        <w:t>20,000</w:t>
      </w:r>
      <w:r>
        <w:rPr>
          <w:rFonts w:cs="David"/>
          <w:u w:val="single"/>
          <w:rtl w:val="true"/>
        </w:rPr>
        <w:t xml:space="preserve"> ₪.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11.4.11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מהפרוטוקול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הכוללת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17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דר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חציל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>ר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ומנהלה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ברנהולץ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בהתאמה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החזיקו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u w:val="single"/>
        </w:rPr>
        <w:t>100</w:t>
      </w:r>
      <w:r>
        <w:rPr>
          <w:rFonts w:cs="David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העסקית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ספטמבר</w:t>
      </w:r>
      <w:r>
        <w:rPr>
          <w:rtl w:val="true"/>
        </w:rPr>
        <w:t xml:space="preserve"> 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 xml:space="preserve">- </w:t>
      </w:r>
      <w:r>
        <w:rPr>
          <w:rFonts w:cs="David"/>
          <w:u w:val="single"/>
        </w:rPr>
        <w:t>4</w:t>
      </w:r>
      <w:r>
        <w:rPr>
          <w:rFonts w:cs="David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נאשמת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u w:val="single"/>
        </w:rPr>
        <w:t>20,000</w:t>
      </w:r>
      <w:r>
        <w:rPr>
          <w:rFonts w:cs="David"/>
          <w:u w:val="single"/>
          <w:rtl w:val="true"/>
        </w:rPr>
        <w:t xml:space="preserve"> ₪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u w:val="single"/>
        </w:rPr>
        <w:t>10,000</w:t>
      </w:r>
      <w:r>
        <w:rPr>
          <w:rFonts w:cs="David"/>
          <w:u w:val="single"/>
          <w:rtl w:val="true"/>
        </w:rPr>
        <w:t xml:space="preserve"> 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u w:val="single"/>
        </w:rPr>
        <w:t>20,000</w:t>
      </w:r>
      <w:r>
        <w:rPr>
          <w:rFonts w:cs="David"/>
          <w:u w:val="single"/>
          <w:rtl w:val="true"/>
        </w:rPr>
        <w:t xml:space="preserve"> </w:t>
      </w:r>
      <w:r>
        <w:rPr>
          <w:rFonts w:cs="David"/>
          <w:rtl w:val="true"/>
        </w:rPr>
        <w:t xml:space="preserve">₪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לתוקפו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9.10.12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18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והנדסה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ומנהלה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בהתאמה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החזיקו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u w:val="single"/>
        </w:rPr>
        <w:t>100</w:t>
      </w:r>
      <w:r>
        <w:rPr>
          <w:rFonts w:cs="David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ששימש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ספטמבר</w:t>
      </w:r>
      <w:r>
        <w:rPr>
          <w:rtl w:val="true"/>
        </w:rPr>
        <w:t xml:space="preserve"> 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ואילך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למעלה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מ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</w:rPr>
        <w:t>4</w:t>
      </w:r>
      <w:r>
        <w:rPr>
          <w:rFonts w:cs="David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שנים</w:t>
      </w:r>
      <w:r>
        <w:rPr>
          <w:rFonts w:cs="David"/>
          <w:u w:val="single"/>
          <w:rtl w:val="true"/>
        </w:rPr>
        <w:t>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2.12.12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נאשמת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u w:val="single"/>
        </w:rPr>
        <w:t>20,000</w:t>
      </w:r>
      <w:r>
        <w:rPr>
          <w:rFonts w:cs="David"/>
          <w:u w:val="single"/>
          <w:rtl w:val="true"/>
        </w:rPr>
        <w:t xml:space="preserve"> ₪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u w:val="single"/>
        </w:rPr>
        <w:t>10,000</w:t>
      </w:r>
      <w:r>
        <w:rPr>
          <w:rFonts w:cs="David"/>
          <w:u w:val="single"/>
          <w:rtl w:val="true"/>
        </w:rPr>
        <w:t xml:space="preserve"> ₪.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לתוקפו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בתום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מן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הכלל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אל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הפרט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19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לסיכום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כדלקמן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:</w:t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. </w:t>
        <w:tab/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נאשמת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בגודל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1000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לערך</w:t>
      </w:r>
      <w:r>
        <w:rPr>
          <w:rFonts w:cs="David"/>
          <w:rtl w:val="true"/>
        </w:rPr>
        <w:t xml:space="preserve">). </w:t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החזיקו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כ</w:t>
      </w:r>
      <w:r>
        <w:rPr>
          <w:rFonts w:cs="David"/>
          <w:u w:val="single"/>
          <w:rtl w:val="true"/>
        </w:rPr>
        <w:t xml:space="preserve">- </w:t>
      </w:r>
      <w:r>
        <w:rPr>
          <w:rFonts w:cs="David"/>
          <w:u w:val="single"/>
        </w:rPr>
        <w:t>1,000</w:t>
      </w:r>
      <w:r>
        <w:rPr>
          <w:rFonts w:cs="David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שאשמים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החזיקו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  <w:u w:val="single"/>
        </w:rPr>
        <w:t>300</w:t>
      </w:r>
      <w:r>
        <w:rPr>
          <w:rFonts w:cs="David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200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כחניה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יוצא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שנאשמים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שלוש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יותר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גדול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מהשטח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החזיקו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נאשמות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נאשמות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נאשמות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החזיקו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לפרק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זמן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שהוא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שלוש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יותר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tl w:val="true"/>
        </w:rPr>
        <w:t xml:space="preserve"> 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לדעתי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גודל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החזיקו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מתאזן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הנאשמות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, </w:t>
      </w:r>
      <w:r>
        <w:rPr>
          <w:rFonts w:cs="David"/>
          <w:u w:val="single"/>
          <w:rtl w:val="true"/>
        </w:rPr>
        <w:t>קנס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זהה</w:t>
      </w:r>
      <w:r>
        <w:rPr>
          <w:rFonts w:cs="David"/>
          <w:u w:val="single"/>
          <w:rtl w:val="true"/>
        </w:rPr>
        <w:t>.</w:t>
      </w:r>
      <w:r>
        <w:rPr>
          <w:rFonts w:cs="David"/>
          <w:rtl w:val="true"/>
        </w:rPr>
        <w:t xml:space="preserve"> </w:t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ג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20,000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100,000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20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77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ח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78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לעיקרון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התכלית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שמאחורי</w:t>
      </w:r>
      <w:r>
        <w:rPr>
          <w:rtl w:val="true"/>
        </w:rPr>
        <w:t xml:space="preserve"> </w:t>
      </w:r>
      <w:hyperlink r:id="rId79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ח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80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ליצור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אימפקט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כלכלי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דומה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מצבו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תכליתה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אנושי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בסיסי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מכבודו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כאדם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21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שהנאשמים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אומנם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הצביעו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קצבת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ותלושי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למצבם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ולמקורות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הכנסותיהם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כגון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חיסכון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ורכוש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>נת</w:t>
      </w:r>
      <w:r>
        <w:rPr>
          <w:rtl w:val="true"/>
        </w:rPr>
        <w:t xml:space="preserve"> </w:t>
      </w:r>
      <w:r>
        <w:rPr>
          <w:rFonts w:cs="David"/>
        </w:rPr>
        <w:t>2011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לנאשמת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2.7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הדעות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העדכני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נאשמת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וכיצד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השליכו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3</w:t>
      </w:r>
      <w:r>
        <w:rPr>
          <w:rFonts w:cs="David"/>
          <w:rtl w:val="true"/>
        </w:rPr>
        <w:t>.</w:t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22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לגב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נאשמת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שממשיכה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נאשמת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23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קנס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המתאים</w:t>
      </w:r>
      <w:r>
        <w:rPr>
          <w:rFonts w:cs="David"/>
          <w:b/>
          <w:bCs/>
          <w:rtl w:val="true"/>
        </w:rPr>
        <w:t xml:space="preserve">"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השיקולים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שלהלן</w:t>
      </w:r>
      <w:r>
        <w:rPr>
          <w:rFonts w:cs="David"/>
          <w:rtl w:val="true"/>
        </w:rPr>
        <w:t xml:space="preserve">: </w:t>
      </w:r>
    </w:p>
    <w:p>
      <w:pPr>
        <w:pStyle w:val="BodyText"/>
        <w:bidi w:val="1"/>
        <w:spacing w:lineRule="auto" w:line="360"/>
        <w:ind w:start="36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2"/>
        </w:numPr>
        <w:bidi w:val="1"/>
        <w:spacing w:lineRule="auto" w:line="360"/>
        <w:ind w:hanging="360" w:start="1635" w:end="0"/>
        <w:jc w:val="both"/>
        <w:rPr>
          <w:rFonts w:cs="David"/>
        </w:rPr>
      </w:pPr>
      <w:r>
        <w:rPr>
          <w:rFonts w:cs="David"/>
          <w:rtl w:val="true"/>
        </w:rPr>
        <w:t>הודאת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וחיסכון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שיפוטי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יקר</w:t>
      </w:r>
      <w:r>
        <w:rPr>
          <w:rtl w:val="true"/>
        </w:rPr>
        <w:t xml:space="preserve"> 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81">
        <w:r>
          <w:rPr>
            <w:rStyle w:val="Hyperlink"/>
            <w:rFonts w:cs="David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יא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4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hyperlink r:id="rId82"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יא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6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83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). </w:t>
      </w:r>
    </w:p>
    <w:p>
      <w:pPr>
        <w:pStyle w:val="BodyText"/>
        <w:numPr>
          <w:ilvl w:val="0"/>
          <w:numId w:val="2"/>
        </w:numPr>
        <w:bidi w:val="1"/>
        <w:spacing w:lineRule="auto" w:line="360"/>
        <w:ind w:hanging="360" w:start="1635" w:end="0"/>
        <w:jc w:val="both"/>
        <w:rPr>
          <w:rFonts w:cs="David"/>
        </w:rPr>
      </w:pP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2,1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84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יא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5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85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). </w:t>
      </w:r>
    </w:p>
    <w:p>
      <w:pPr>
        <w:pStyle w:val="BodyText"/>
        <w:numPr>
          <w:ilvl w:val="0"/>
          <w:numId w:val="2"/>
        </w:numPr>
        <w:bidi w:val="1"/>
        <w:spacing w:lineRule="auto" w:line="360"/>
        <w:ind w:hanging="360" w:start="1635" w:end="0"/>
        <w:jc w:val="both"/>
        <w:rPr>
          <w:rFonts w:cs="David"/>
        </w:rPr>
      </w:pPr>
      <w:r>
        <w:rPr>
          <w:rFonts w:cs="David"/>
          <w:rtl w:val="true"/>
        </w:rPr>
        <w:t>ההשלכות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</w:t>
      </w:r>
      <w:r>
        <w:rPr>
          <w:rFonts w:cs="David"/>
          <w:rtl w:val="true"/>
        </w:rPr>
        <w:t>מי</w:t>
      </w:r>
      <w:r>
        <w:rPr>
          <w:rFonts w:cs="David"/>
          <w:rtl w:val="true"/>
        </w:rPr>
        <w:t>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86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יא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1</w:t>
        </w:r>
        <w:r>
          <w:rPr>
            <w:rStyle w:val="Hyperlink"/>
            <w:rFonts w:cs="David"/>
            <w:rtl w:val="true"/>
          </w:rPr>
          <w:t>)</w:t>
        </w:r>
      </w:hyperlink>
      <w:hyperlink r:id="rId87">
        <w:r>
          <w:rPr>
            <w:rStyle w:val="Hyperlink"/>
            <w:rFonts w:cs="David"/>
            <w:rtl w:val="true"/>
          </w:rPr>
          <w:t>(</w:t>
        </w:r>
      </w:hyperlink>
      <w:r>
        <w:rPr>
          <w:rStyle w:val="Hyperlink"/>
          <w:rFonts w:cs="David"/>
        </w:rPr>
        <w:t>2</w:t>
      </w:r>
      <w:r>
        <w:rPr>
          <w:rStyle w:val="Hyperlink"/>
          <w:rFonts w:cs="David"/>
          <w:rtl w:val="true"/>
        </w:rPr>
        <w:t>)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hyperlink r:id="rId88"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3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89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>).</w:t>
      </w:r>
    </w:p>
    <w:p>
      <w:pPr>
        <w:pStyle w:val="BodyText"/>
        <w:numPr>
          <w:ilvl w:val="0"/>
          <w:numId w:val="2"/>
        </w:numPr>
        <w:bidi w:val="1"/>
        <w:spacing w:lineRule="auto" w:line="360"/>
        <w:ind w:hanging="360" w:start="1635" w:end="0"/>
        <w:jc w:val="both"/>
        <w:rPr>
          <w:rFonts w:cs="David"/>
        </w:rPr>
      </w:pPr>
      <w:r>
        <w:rPr>
          <w:rFonts w:cs="David"/>
          <w:rtl w:val="true"/>
        </w:rPr>
        <w:t>העונשים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שהוטלו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שניהלו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טרומן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בגודל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שהשתמשו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וחלקם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רלבנטי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האחידות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בענישה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1.6.13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BodyText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נאשמת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תחתום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20,000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להימנע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90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התכנון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והבניה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התשכ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1965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תיחתם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במזכירות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לגבי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נאשמים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</w:rPr>
        <w:t>2</w:t>
      </w:r>
      <w:r>
        <w:rPr>
          <w:rFonts w:cs="David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</w:rPr>
        <w:t>3</w:t>
      </w:r>
      <w:r>
        <w:rPr>
          <w:rFonts w:cs="David"/>
          <w:u w:val="single"/>
          <w:rtl w:val="true"/>
        </w:rPr>
        <w:t>: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20,000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50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1.6.13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20,000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להימנע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hyperlink r:id="rId91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התכנון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והבניה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תיחתם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במזכירות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ההתחייבות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</w:rPr>
        <w:t>40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u w:val="single"/>
          <w:rtl w:val="true"/>
        </w:rPr>
        <w:t>לגבי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הנאשמות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</w:rPr>
        <w:t>4</w:t>
      </w:r>
      <w:r>
        <w:rPr>
          <w:rFonts w:cs="David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</w:t>
      </w:r>
      <w:r>
        <w:rPr>
          <w:rFonts w:cs="David"/>
          <w:u w:val="single"/>
          <w:rtl w:val="true"/>
        </w:rPr>
        <w:t xml:space="preserve">- </w:t>
      </w:r>
      <w:r>
        <w:rPr>
          <w:rFonts w:cs="David"/>
          <w:u w:val="single"/>
        </w:rPr>
        <w:t>5</w:t>
      </w:r>
      <w:r>
        <w:rPr>
          <w:rFonts w:cs="David"/>
          <w:rtl w:val="true"/>
        </w:rPr>
        <w:t xml:space="preserve"> :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1.6.13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BodyText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מהנאשמות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20,000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להימנע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92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התכנון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והבניה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התשכ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1965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תיחתם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במזכירות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ג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החניה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הנאשמות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לתוקפו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בתום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hanging="360" w:start="144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45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93"/>
      <w:footerReference w:type="default" r:id="rId9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תוב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12717-03-10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צעצועי כוכב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rFonts w:ascii="Times New Roman" w:hAnsi="Times New Roman"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635"/>
        </w:tabs>
        <w:ind w:start="1635" w:hanging="360"/>
      </w:pPr>
      <w:rPr>
        <w:rFonts w:ascii="Times New Roman" w:hAnsi="Times New Roman"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WW8Num1z2">
    <w:name w:val="WW8Num1z2"/>
    <w:qFormat/>
    <w:rPr>
      <w:rFonts w:ascii="Times New Roman" w:hAnsi="Times New Roman" w:cs="Times New Roman"/>
    </w:rPr>
  </w:style>
  <w:style w:type="character" w:styleId="WW8Num2z0">
    <w:name w:val="WW8Num2z0"/>
    <w:qFormat/>
    <w:rPr>
      <w:rFonts w:ascii="Times New Roman" w:hAnsi="Times New Roman" w:cs="Times New Roman"/>
    </w:rPr>
  </w:style>
  <w:style w:type="character" w:styleId="WW8Num2z2">
    <w:name w:val="WW8Num2z2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bidi w:val="0"/>
      <w:jc w:val="end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1073" TargetMode="External"/><Relationship Id="rId3" Type="http://schemas.openxmlformats.org/officeDocument/2006/relationships/hyperlink" Target="http://www.nevo.co.il/law/91073/1T" TargetMode="External"/><Relationship Id="rId4" Type="http://schemas.openxmlformats.org/officeDocument/2006/relationships/hyperlink" Target="http://www.nevo.co.il/law/91073/145" TargetMode="External"/><Relationship Id="rId5" Type="http://schemas.openxmlformats.org/officeDocument/2006/relationships/hyperlink" Target="http://www.nevo.co.il/law/91073/156a" TargetMode="External"/><Relationship Id="rId6" Type="http://schemas.openxmlformats.org/officeDocument/2006/relationships/hyperlink" Target="http://www.nevo.co.il/law/91073/1T5" TargetMode="External"/><Relationship Id="rId7" Type="http://schemas.openxmlformats.org/officeDocument/2006/relationships/hyperlink" Target="http://www.nevo.co.il/law/91073/204" TargetMode="External"/><Relationship Id="rId8" Type="http://schemas.openxmlformats.org/officeDocument/2006/relationships/hyperlink" Target="http://www.nevo.co.il/law/91073/204.a" TargetMode="External"/><Relationship Id="rId9" Type="http://schemas.openxmlformats.org/officeDocument/2006/relationships/hyperlink" Target="http://www.nevo.co.il/law/91073/204.a.c" TargetMode="External"/><Relationship Id="rId10" Type="http://schemas.openxmlformats.org/officeDocument/2006/relationships/hyperlink" Target="http://www.nevo.co.il/law/91073/204.c" TargetMode="External"/><Relationship Id="rId11" Type="http://schemas.openxmlformats.org/officeDocument/2006/relationships/hyperlink" Target="http://www.nevo.co.il/law/91073/208" TargetMode="External"/><Relationship Id="rId12" Type="http://schemas.openxmlformats.org/officeDocument/2006/relationships/hyperlink" Target="http://www.nevo.co.il/law/91073/208.a" TargetMode="External"/><Relationship Id="rId13" Type="http://schemas.openxmlformats.org/officeDocument/2006/relationships/hyperlink" Target="http://www.nevo.co.il/law/91073/253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c.a" TargetMode="External"/><Relationship Id="rId16" Type="http://schemas.openxmlformats.org/officeDocument/2006/relationships/hyperlink" Target="http://www.nevo.co.il/law/70301/40h" TargetMode="External"/><Relationship Id="rId17" Type="http://schemas.openxmlformats.org/officeDocument/2006/relationships/hyperlink" Target="http://www.nevo.co.il/law/70301/40i.a.2" TargetMode="External"/><Relationship Id="rId18" Type="http://schemas.openxmlformats.org/officeDocument/2006/relationships/hyperlink" Target="http://www.nevo.co.il/law/70301/40i.a.3" TargetMode="External"/><Relationship Id="rId19" Type="http://schemas.openxmlformats.org/officeDocument/2006/relationships/hyperlink" Target="http://www.nevo.co.il/law/70301/40i.a.4" TargetMode="External"/><Relationship Id="rId20" Type="http://schemas.openxmlformats.org/officeDocument/2006/relationships/hyperlink" Target="http://www.nevo.co.il/law/70301/61.c" TargetMode="External"/><Relationship Id="rId21" Type="http://schemas.openxmlformats.org/officeDocument/2006/relationships/hyperlink" Target="http://www.nevo.co.il/law/70301/63.a" TargetMode="External"/><Relationship Id="rId22" Type="http://schemas.openxmlformats.org/officeDocument/2006/relationships/hyperlink" Target="http://www.nevo.co.il/law/70301/40ja.1" TargetMode="External"/><Relationship Id="rId23" Type="http://schemas.openxmlformats.org/officeDocument/2006/relationships/hyperlink" Target="http://www.nevo.co.il/law/70301/40ja.2" TargetMode="External"/><Relationship Id="rId24" Type="http://schemas.openxmlformats.org/officeDocument/2006/relationships/hyperlink" Target="http://www.nevo.co.il/law/70301/40ja.3" TargetMode="External"/><Relationship Id="rId25" Type="http://schemas.openxmlformats.org/officeDocument/2006/relationships/hyperlink" Target="http://www.nevo.co.il/law/70301/40ja.4" TargetMode="External"/><Relationship Id="rId26" Type="http://schemas.openxmlformats.org/officeDocument/2006/relationships/hyperlink" Target="http://www.nevo.co.il/law/70301/40ja.5" TargetMode="External"/><Relationship Id="rId27" Type="http://schemas.openxmlformats.org/officeDocument/2006/relationships/hyperlink" Target="http://www.nevo.co.il/law/70301/40ja.6" TargetMode="External"/><Relationship Id="rId28" Type="http://schemas.openxmlformats.org/officeDocument/2006/relationships/hyperlink" Target="http://www.nevo.co.il/law/91073/145" TargetMode="External"/><Relationship Id="rId29" Type="http://schemas.openxmlformats.org/officeDocument/2006/relationships/hyperlink" Target="http://www.nevo.co.il/law/91073/156a" TargetMode="External"/><Relationship Id="rId30" Type="http://schemas.openxmlformats.org/officeDocument/2006/relationships/hyperlink" Target="http://www.nevo.co.il/law/91073/204.a.c" TargetMode="External"/><Relationship Id="rId31" Type="http://schemas.openxmlformats.org/officeDocument/2006/relationships/hyperlink" Target="http://www.nevo.co.il/law/91073/208" TargetMode="External"/><Relationship Id="rId32" Type="http://schemas.openxmlformats.org/officeDocument/2006/relationships/hyperlink" Target="http://www.nevo.co.il/law/91073/253" TargetMode="External"/><Relationship Id="rId33" Type="http://schemas.openxmlformats.org/officeDocument/2006/relationships/hyperlink" Target="http://www.nevo.co.il/law/91073" TargetMode="External"/><Relationship Id="rId34" Type="http://schemas.openxmlformats.org/officeDocument/2006/relationships/hyperlink" Target="http://www.nevo.co.il/law/91073/1T5" TargetMode="External"/><Relationship Id="rId35" Type="http://schemas.openxmlformats.org/officeDocument/2006/relationships/hyperlink" Target="http://www.nevo.co.il/law/91073/1T" TargetMode="External"/><Relationship Id="rId36" Type="http://schemas.openxmlformats.org/officeDocument/2006/relationships/hyperlink" Target="http://www.nevo.co.il/law/91073" TargetMode="External"/><Relationship Id="rId37" Type="http://schemas.openxmlformats.org/officeDocument/2006/relationships/hyperlink" Target="http://www.nevo.co.il/case/5622144" TargetMode="External"/><Relationship Id="rId38" Type="http://schemas.openxmlformats.org/officeDocument/2006/relationships/hyperlink" Target="http://www.nevo.co.il/case/4475628" TargetMode="External"/><Relationship Id="rId39" Type="http://schemas.openxmlformats.org/officeDocument/2006/relationships/hyperlink" Target="http://www.nevo.co.il/case/5671007" TargetMode="External"/><Relationship Id="rId40" Type="http://schemas.openxmlformats.org/officeDocument/2006/relationships/hyperlink" Target="http://www.nevo.co.il/case/6142447" TargetMode="External"/><Relationship Id="rId41" Type="http://schemas.openxmlformats.org/officeDocument/2006/relationships/hyperlink" Target="http://www.nevo.co.il/law/91073/204.a" TargetMode="External"/><Relationship Id="rId42" Type="http://schemas.openxmlformats.org/officeDocument/2006/relationships/hyperlink" Target="http://www.nevo.co.il/law/91073/204.c" TargetMode="External"/><Relationship Id="rId43" Type="http://schemas.openxmlformats.org/officeDocument/2006/relationships/hyperlink" Target="http://www.nevo.co.il/law/91073" TargetMode="External"/><Relationship Id="rId44" Type="http://schemas.openxmlformats.org/officeDocument/2006/relationships/hyperlink" Target="http://www.nevo.co.il/law/91073/208.a" TargetMode="External"/><Relationship Id="rId45" Type="http://schemas.openxmlformats.org/officeDocument/2006/relationships/hyperlink" Target="http://www.nevo.co.il/law/91073" TargetMode="External"/><Relationship Id="rId46" Type="http://schemas.openxmlformats.org/officeDocument/2006/relationships/hyperlink" Target="http://www.nevo.co.il/law/91073/204" TargetMode="External"/><Relationship Id="rId47" Type="http://schemas.openxmlformats.org/officeDocument/2006/relationships/hyperlink" Target="http://www.nevo.co.il/law/91073/208.a" TargetMode="External"/><Relationship Id="rId48" Type="http://schemas.openxmlformats.org/officeDocument/2006/relationships/hyperlink" Target="http://www.nevo.co.il/law/91073" TargetMode="External"/><Relationship Id="rId49" Type="http://schemas.openxmlformats.org/officeDocument/2006/relationships/hyperlink" Target="http://www.nevo.co.il/law/91073/204.a" TargetMode="External"/><Relationship Id="rId50" Type="http://schemas.openxmlformats.org/officeDocument/2006/relationships/hyperlink" Target="http://www.nevo.co.il/law/70301/61.c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63.a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case/5970897" TargetMode="External"/><Relationship Id="rId55" Type="http://schemas.openxmlformats.org/officeDocument/2006/relationships/hyperlink" Target="http://www.nevo.co.il/law/70301/63.a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91073" TargetMode="External"/><Relationship Id="rId58" Type="http://schemas.openxmlformats.org/officeDocument/2006/relationships/hyperlink" Target="http://www.nevo.co.il/law/70301/63.a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40i.a.2" TargetMode="External"/><Relationship Id="rId61" Type="http://schemas.openxmlformats.org/officeDocument/2006/relationships/hyperlink" Target="http://www.nevo.co.il/law/70301/40i.a.3" TargetMode="External"/><Relationship Id="rId62" Type="http://schemas.openxmlformats.org/officeDocument/2006/relationships/hyperlink" Target="http://www.nevo.co.il/law/70301/40i.a.4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40c.a" TargetMode="External"/><Relationship Id="rId65" Type="http://schemas.openxmlformats.org/officeDocument/2006/relationships/hyperlink" Target="http://www.nevo.co.il/law/70301/40i.a.3" TargetMode="External"/><Relationship Id="rId66" Type="http://schemas.openxmlformats.org/officeDocument/2006/relationships/hyperlink" Target="http://www.nevo.co.il/law/70301/40i.a.4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case/6167664" TargetMode="External"/><Relationship Id="rId69" Type="http://schemas.openxmlformats.org/officeDocument/2006/relationships/hyperlink" Target="http://www.nevo.co.il/case/6135787" TargetMode="External"/><Relationship Id="rId70" Type="http://schemas.openxmlformats.org/officeDocument/2006/relationships/hyperlink" Target="http://www.nevo.co.il/case/6135787" TargetMode="External"/><Relationship Id="rId71" Type="http://schemas.openxmlformats.org/officeDocument/2006/relationships/hyperlink" Target="http://www.nevo.co.il/case/5826359" TargetMode="External"/><Relationship Id="rId72" Type="http://schemas.openxmlformats.org/officeDocument/2006/relationships/hyperlink" Target="http://www.nevo.co.il/case/5576099" TargetMode="External"/><Relationship Id="rId73" Type="http://schemas.openxmlformats.org/officeDocument/2006/relationships/hyperlink" Target="http://www.nevo.co.il/case/5587382" TargetMode="External"/><Relationship Id="rId74" Type="http://schemas.openxmlformats.org/officeDocument/2006/relationships/hyperlink" Target="http://www.nevo.co.il/case/5622144" TargetMode="External"/><Relationship Id="rId75" Type="http://schemas.openxmlformats.org/officeDocument/2006/relationships/hyperlink" Target="http://www.nevo.co.il/case/5622143" TargetMode="External"/><Relationship Id="rId76" Type="http://schemas.openxmlformats.org/officeDocument/2006/relationships/hyperlink" Target="http://www.nevo.co.il/case/4475628" TargetMode="External"/><Relationship Id="rId77" Type="http://schemas.openxmlformats.org/officeDocument/2006/relationships/hyperlink" Target="http://www.nevo.co.il/law/70301/40h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law/70301/40h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70301/40ja.4" TargetMode="External"/><Relationship Id="rId82" Type="http://schemas.openxmlformats.org/officeDocument/2006/relationships/hyperlink" Target="http://www.nevo.co.il/law/70301/40ja.6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law/70301/40ja.5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law/70301/40ja.1" TargetMode="External"/><Relationship Id="rId87" Type="http://schemas.openxmlformats.org/officeDocument/2006/relationships/hyperlink" Target="http://www.nevo.co.il/law/70301/40ja.2" TargetMode="External"/><Relationship Id="rId88" Type="http://schemas.openxmlformats.org/officeDocument/2006/relationships/hyperlink" Target="http://www.nevo.co.il/law/70301/40ja.3" TargetMode="External"/><Relationship Id="rId89" Type="http://schemas.openxmlformats.org/officeDocument/2006/relationships/hyperlink" Target="http://www.nevo.co.il/law/70301" TargetMode="External"/><Relationship Id="rId90" Type="http://schemas.openxmlformats.org/officeDocument/2006/relationships/hyperlink" Target="http://www.nevo.co.il/law/91073" TargetMode="External"/><Relationship Id="rId91" Type="http://schemas.openxmlformats.org/officeDocument/2006/relationships/hyperlink" Target="http://www.nevo.co.il/law/91073" TargetMode="External"/><Relationship Id="rId92" Type="http://schemas.openxmlformats.org/officeDocument/2006/relationships/hyperlink" Target="http://www.nevo.co.il/law/91073" TargetMode="External"/><Relationship Id="rId93" Type="http://schemas.openxmlformats.org/officeDocument/2006/relationships/header" Target="header1.xml"/><Relationship Id="rId94" Type="http://schemas.openxmlformats.org/officeDocument/2006/relationships/footer" Target="footer1.xml"/><Relationship Id="rId95" Type="http://schemas.openxmlformats.org/officeDocument/2006/relationships/numbering" Target="numbering.xml"/><Relationship Id="rId96" Type="http://schemas.openxmlformats.org/officeDocument/2006/relationships/fontTable" Target="fontTable.xml"/><Relationship Id="rId97" Type="http://schemas.openxmlformats.org/officeDocument/2006/relationships/settings" Target="settings.xml"/><Relationship Id="rId9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2016-02-14T15:47:00Z</dcterms:created>
  <dc:creator> </dc:creator>
  <dc:description/>
  <cp:keywords/>
  <dc:language>en-IL</dc:language>
  <cp:lastModifiedBy>hofit</cp:lastModifiedBy>
  <dcterms:modified xsi:type="dcterms:W3CDTF">2016-02-14T15:47:00Z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צעצועי כוכב בע#מ;דוד אשכנזי;אלברט רביע;טולס אר.די. בע#מ;רחל דדוש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5622144:2;4475628:2;5671007;6142447;5970897;6167664;6135787:2;5826359;5576099;5587382;5622143</vt:lpwstr>
  </property>
  <property fmtid="{D5CDD505-2E9C-101B-9397-08002B2CF9AE}" pid="9" name="CITY">
    <vt:lpwstr>רמ'</vt:lpwstr>
  </property>
  <property fmtid="{D5CDD505-2E9C-101B-9397-08002B2CF9AE}" pid="10" name="DATE">
    <vt:lpwstr>20130425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91073/145;156a;204.a.c;208;253;1T5;001T;204.a:2;204.c;208.a:2;204</vt:lpwstr>
  </property>
  <property fmtid="{D5CDD505-2E9C-101B-9397-08002B2CF9AE}" pid="15" name="LAWLISTTMP2">
    <vt:lpwstr>70301/061.c;063.a:3;040i.a.2;040i.a.3:2;040i.a.4:2;040c.a;040h:2;40ja.4;40ja.6;40ja.5;40ja.1;40ja.2;40ja.3</vt:lpwstr>
  </property>
  <property fmtid="{D5CDD505-2E9C-101B-9397-08002B2CF9AE}" pid="16" name="LAWYER">
    <vt:lpwstr>עופרה אורנשטיין;גדעון בן אור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12717;12538;12642</vt:lpwstr>
  </property>
  <property fmtid="{D5CDD505-2E9C-101B-9397-08002B2CF9AE}" pid="23" name="NEWPARTB">
    <vt:lpwstr>03;03;03</vt:lpwstr>
  </property>
  <property fmtid="{D5CDD505-2E9C-101B-9397-08002B2CF9AE}" pid="24" name="NEWPARTC">
    <vt:lpwstr>10;;</vt:lpwstr>
  </property>
  <property fmtid="{D5CDD505-2E9C-101B-9397-08002B2CF9AE}" pid="25" name="NEWPROC">
    <vt:lpwstr>תוב;תפ;תפ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380020130425</vt:lpwstr>
  </property>
  <property fmtid="{D5CDD505-2E9C-101B-9397-08002B2CF9AE}" pid="35" name="TYPE_N_DATE">
    <vt:lpwstr>38020130425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