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12681-12-17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רביעה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2"/>
        <w:gridCol w:w="4663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63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תומר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מזרחי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4663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מחמד אבו רביעה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ארליך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>חוק החברות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1999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216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המתוקן והסדר הטיעון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הנאשם הודה במסגרת הסדר טיעון בעובדות כתב האישום המתוקן והורשע בביצוע עבירה של מסירת ידיעה לא נכונה ללא הסבר סביר או מסירת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או מסמך אחר הכוללים ידיעה כאמור לפי </w:t>
      </w:r>
      <w:hyperlink r:id="rId1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1975</w:t>
      </w:r>
      <w:r>
        <w:rPr>
          <w:rFonts w:cs="Arial" w:ascii="Arial" w:hAnsi="Arial"/>
          <w:rtl w:val="true"/>
        </w:rPr>
        <w:t xml:space="preserve"> </w:t>
      </w:r>
      <w:bookmarkStart w:id="9" w:name="ABSTRACT_END"/>
      <w:bookmarkEnd w:id="9"/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hyperlink r:id="rId16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מ</w:t>
        </w:r>
      </w:hyperlink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חודש ספטמבר ועד חודש נובמבר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הייתה חברת רשת קווים לבניין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חברת רשת קווים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רשומה כחברה פרטית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מוגבלת במניות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מדובר בחברה שהתאגדה בישראל על 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החברות</w:t>
        </w:r>
      </w:hyperlink>
      <w:r>
        <w:rPr>
          <w:rFonts w:ascii="Arial" w:hAnsi="Arial" w:cs="Arial"/>
          <w:rtl w:val="true"/>
        </w:rPr>
        <w:t xml:space="preserve"> התשמ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1999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עיסוקה בעבודות בניה והייתה רשומה כעוסק מורשה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בתקופה שצוינה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נרשם הנאשם כבעל המניות והדירקטור של חברת רשת קווים וזאת על פי בקשתו של אנואר אלצאנע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אנואר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כאשר בפועל הייתה חברת רשת קווים בשליטתו וניהולו הבלעדי של אנואר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הסכמתו של הנאשם להירשם כבעל המניות בחברת רשת קווים במקום אנואר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גרם הנאשם לכך שנמסרה ידיעה לא נכונה למנהל מס ערך מוסף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בתקופה האמורה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ניכתה חברת רשת קווים באמצעות אנואר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מסמכים הנחזים להיות חשבוניות מס על שם חברת ריילוקס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מבלי שאלה עשו או התחייבו לעשות את העסקאות שלגביהן הוצאו אותן חשבוניות כוזבות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הסכום הכולל של החשבוניות הכוזבות היה </w:t>
      </w:r>
      <w:r>
        <w:rPr>
          <w:rFonts w:cs="Arial" w:ascii="Arial" w:hAnsi="Arial"/>
        </w:rPr>
        <w:t>8,829,704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כאשר 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הגלום בהן היה </w:t>
      </w:r>
      <w:r>
        <w:rPr>
          <w:rFonts w:cs="Arial" w:ascii="Arial" w:hAnsi="Arial"/>
        </w:rPr>
        <w:t>1,346,904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31.3.2022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הוצג הסדר הטיעון שבין הצדדים ואשר לפיו כתב האישום המקורי תוקן על פי הנוסח שהובא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הודה והורשע בעבירה שצוינה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סוכם שהמאשימה תטען לשישה חודשי מאסר בפועל שניתן לרצותם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לשיקול דעתו של בית המשפט וקנס מוסכם בסך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פרוט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21.3.22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וההחלטה מיום </w:t>
      </w:r>
      <w:r>
        <w:rPr>
          <w:rFonts w:cs="Arial" w:ascii="Arial" w:hAnsi="Arial"/>
        </w:rPr>
        <w:t>12.5.22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בפתקית לפיה הפרוטוקול האמור תוקן בהסכמת הצדדים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טענה בתמצית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מתחם העונש ההולם לעבירות שבהן הורשע הנאשם </w:t>
      </w:r>
      <w:r>
        <w:rPr>
          <w:rFonts w:ascii="Arial" w:hAnsi="Arial" w:cs="Arial"/>
          <w:u w:val="single"/>
          <w:rtl w:val="true"/>
        </w:rPr>
        <w:t>מתחיל</w:t>
      </w:r>
      <w:r>
        <w:rPr>
          <w:rFonts w:ascii="Arial" w:hAnsi="Arial" w:cs="Arial"/>
          <w:rtl w:val="true"/>
        </w:rPr>
        <w:t xml:space="preserve"> משישה חודשי מאסר שיכול וירוצו בעבודות שירות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יוצא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שהמאשימה טענה לרף התחתון של מתחם העונש ההולם המוצע על ידה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יש לתת את הדעת לסכום המחדל בסך של </w:t>
      </w:r>
      <w:r>
        <w:rPr>
          <w:rFonts w:cs="Arial" w:ascii="Arial" w:hAnsi="Arial"/>
        </w:rPr>
        <w:t>1,346,904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שהוא 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שמשקף את הנזק שנגרם לקופה הציבורית מהעבירה שבוצעה על ידי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המחדל לא הוסר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לנאשם רישום פלילי אשר כולל שש הרשעות קודמות בעבירות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הפרת צו של בית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הדחה בחקירה ועבירת מס מסוג עוון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ריצה מאסרים בפועל בעבר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להשית על הנאשם שישה חודשי מאסר שירוצו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בנוסף לשאר רכיבי הענישה שאינם במחלוקת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ההגנה טענה בתמצית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הרוח החיה מאחורי האירוע העברייני שבגינו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אנואר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חלקו של הנאשם הוא מינורי ונשא אופי טכני של רישום חברת רשת קווים על שמו ובעוד שאותו אנואר היה הדמות הדומיננטית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עובד כיום בעבודה חוקית והוצג תלוש שכר לפיו הנאשם משתכר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5,600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לחודש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הנאשם מתנדב בעמותת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יד ביד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מעבר לטענות הנוגעות לנסיבותיו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ההגנה טענה שתי טענות משפטיות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העונש ההולם נע בין מאסר על תנאי ועד שישה 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להשית על הנאשם או מאסר על תנאי או מאסר מצומצם שירוצה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פחות משמעותית משישה 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לנאשם עומדת טענה של אכיפה בררנית עקב כך שהוא הועמד לדין ובעוד שחשודים ונאשמים בתיקים אחרים לא הועמדו לדין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שמשפיע באופן משמעותי לקולא על העונש הסופי שיושת עליו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אדון בהמשך בכל אחת מהטענות המשפטיות שהועלו על ידי ההגנה בנפרד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ייאמר כבר 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נע בין שישה חודשי מאסר בפועל שיכול וירוצו בעבודות שירות ועד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ובהמשך אפרט את נימוקיי לגבולותיו של אותו מתחם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טענה מוצדקת של אכיפה בררנית יש בכוחה להביא להקלה בעונשו של נאשם </w:t>
      </w:r>
      <w:r>
        <w:rPr>
          <w:rFonts w:ascii="Arial" w:hAnsi="Arial" w:cs="Arial"/>
          <w:u w:val="single"/>
          <w:rtl w:val="true"/>
        </w:rPr>
        <w:t>בתוך</w:t>
      </w:r>
      <w:r>
        <w:rPr>
          <w:rFonts w:ascii="Arial" w:hAnsi="Arial" w:cs="Arial"/>
          <w:rtl w:val="true"/>
        </w:rPr>
        <w:t xml:space="preserve"> מתחם העונש ההולם שאותו קובע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איננה משפיעה על אופן הגדרת גבולות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hyperlink r:id="rId1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יא</w:t>
        </w:r>
      </w:hyperlink>
      <w:r>
        <w:rPr>
          <w:rFonts w:ascii="Arial" w:hAnsi="Arial" w:cs="Arial"/>
          <w:rtl w:val="true"/>
        </w:rPr>
        <w:t xml:space="preserve"> ל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שעניינו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התנהגות רשויות אכיפת החוק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כנתון  שעשוי להשפיע לקולא על העונש המתאים שיש להשית על נאשם </w:t>
      </w:r>
      <w:r>
        <w:rPr>
          <w:rFonts w:ascii="Arial" w:hAnsi="Arial" w:cs="Arial"/>
          <w:u w:val="single"/>
          <w:rtl w:val="true"/>
        </w:rPr>
        <w:t>בתוך</w:t>
      </w:r>
      <w:r>
        <w:rPr>
          <w:rFonts w:ascii="Arial" w:hAnsi="Arial" w:cs="Arial"/>
          <w:rtl w:val="true"/>
        </w:rPr>
        <w:t xml:space="preserve"> מתחם העונש ההולם שנקבע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מוצדקת של אכיפה בררנית אין בכוחה להביא לסטייה לקולא ממתחם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hyperlink r:id="rId2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ד</w:t>
        </w:r>
      </w:hyperlink>
      <w:r>
        <w:rPr>
          <w:rFonts w:ascii="Arial" w:hAnsi="Arial" w:cs="Arial"/>
          <w:rtl w:val="true"/>
        </w:rPr>
        <w:t xml:space="preserve"> ל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שמסמיך את בית המשפט לסטות ממתחם העונש ההולם קובע שהדבר הוא אפשרי מטעמי 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הטענה של אכיפה בררנית היא טענה נפרדת שאין לה ולא כלום עם שאלת שיקומו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קביעתי שמתחם העונש ההולם לאירוע העברייני שבו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ממילא </w:t>
      </w:r>
      <w:r>
        <w:rPr>
          <w:rFonts w:ascii="Arial" w:hAnsi="Arial" w:cs="Arial"/>
          <w:u w:val="single"/>
          <w:rtl w:val="true"/>
        </w:rPr>
        <w:t>מתחיל</w:t>
      </w:r>
      <w:r>
        <w:rPr>
          <w:rFonts w:ascii="Arial" w:hAnsi="Arial" w:cs="Arial"/>
          <w:rtl w:val="true"/>
        </w:rPr>
        <w:t xml:space="preserve"> משישה חודשי מאסר שיכול וירוצו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וזה העונש שלו עתרה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הטענה של אכיפה בררנית שהועלתה על ידי ההגנה הפכה </w:t>
      </w:r>
      <w:r>
        <w:rPr>
          <w:rFonts w:ascii="Arial" w:hAnsi="Arial" w:cs="Arial"/>
          <w:u w:val="single"/>
          <w:rtl w:val="true"/>
        </w:rPr>
        <w:t>לתיאורטית</w:t>
      </w:r>
      <w:r>
        <w:rPr>
          <w:rFonts w:ascii="Arial" w:hAnsi="Arial" w:cs="Arial"/>
          <w:rtl w:val="true"/>
        </w:rPr>
        <w:t xml:space="preserve"> לחלוטין ואין בכוחה כדי להשפיע כהוא זה על העונש הסופי שיושת עליו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אף על פי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מנת להביא את התמונה המלאה בפני הקורא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אדון בכל זאת בטענה של אכיפה בררנית ואסביר מדוע יש לדחות אותה גם </w:t>
      </w:r>
      <w:r>
        <w:rPr>
          <w:rFonts w:ascii="Arial" w:hAnsi="Arial" w:cs="Arial"/>
          <w:u w:val="single"/>
          <w:rtl w:val="true"/>
        </w:rPr>
        <w:t>לגופו של עניין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הגדרת גבולות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העבירה שבה הורשע הנאשם היא עבירה מסוג עוון לפי </w:t>
      </w:r>
      <w:hyperlink r:id="rId22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ascii="Arial" w:hAnsi="Arial" w:cs="Arial"/>
          <w:rtl w:val="true"/>
        </w:rPr>
        <w:t xml:space="preserve"> ולצידה עונש מקסימאלי של שנת מאסר אחת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הנזק שנגרם לציבור מהעבירה שבוצעה מתבטא בסכום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שנגזל מהקופה הציבורית בסך של </w:t>
      </w:r>
      <w:r>
        <w:rPr>
          <w:rFonts w:cs="Arial" w:ascii="Arial" w:hAnsi="Arial"/>
        </w:rPr>
        <w:t>1,346,904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מדובר בסכום משמעותי ביותר שמלמד שהעבירה במקרה שבפני בוצעה ברף החומרה הגבוה לביצוען של עבירות מעין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ומכאן מסקנתי שמתחם העונש ההולם </w:t>
      </w:r>
      <w:r>
        <w:rPr>
          <w:rFonts w:ascii="Arial" w:hAnsi="Arial" w:cs="Arial"/>
          <w:u w:val="single"/>
          <w:rtl w:val="true"/>
        </w:rPr>
        <w:t>מתחיל</w:t>
      </w:r>
      <w:r>
        <w:rPr>
          <w:rFonts w:ascii="Arial" w:hAnsi="Arial" w:cs="Arial"/>
          <w:rtl w:val="true"/>
        </w:rPr>
        <w:t xml:space="preserve"> משישה חודשי מאסר שיכול וירוצו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שטענה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פחות מכך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מנת להצביע על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אביא דוגמאות מפסיק</w:t>
      </w:r>
      <w:r>
        <w:rPr>
          <w:rFonts w:ascii="Arial" w:hAnsi="Arial" w:cs="Arial"/>
          <w:rtl w:val="true"/>
        </w:rPr>
        <w:t>תו של בית המשפט העליון</w:t>
      </w:r>
      <w:r>
        <w:rPr>
          <w:rFonts w:ascii="Arial" w:hAnsi="Arial" w:cs="Arial"/>
          <w:rtl w:val="true"/>
        </w:rPr>
        <w:t xml:space="preserve"> שבהן היה מדובר בעבירה לפי </w:t>
      </w:r>
      <w:hyperlink r:id="rId2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 סכום המ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 xml:space="preserve"> היה </w:t>
      </w:r>
      <w:r>
        <w:rPr>
          <w:rFonts w:ascii="Arial" w:hAnsi="Arial" w:cs="Arial"/>
          <w:u w:val="single"/>
          <w:rtl w:val="true"/>
        </w:rPr>
        <w:t>בסדר גודל של מאות אלפי שקלים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8423/16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מנשה דגן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9.11.16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עניינו של המבקש נדון בפני בבית משפט השלום ברמלה </w:t>
      </w:r>
      <w:r>
        <w:rPr>
          <w:rFonts w:cs="Arial" w:ascii="Arial" w:hAnsi="Arial"/>
          <w:rtl w:val="true"/>
        </w:rPr>
        <w:t>(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29194-12-12</w:t>
        </w:r>
      </w:hyperlink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2.4.15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 xml:space="preserve">הנאשם ביצע עבירות עוון לפי </w:t>
      </w:r>
      <w:hyperlink r:id="rId2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מסירת ידיעה לא נכונה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וכן </w:t>
      </w:r>
      <w:hyperlink r:id="rId29"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אי הוצאת חשבונית מס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היה על </w:t>
      </w:r>
      <w:r>
        <w:rPr>
          <w:rFonts w:cs="Arial" w:ascii="Arial" w:hAnsi="Arial"/>
          <w:u w:val="single"/>
        </w:rPr>
        <w:t>888,494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המבקש לא הסיר את המחדלים והושתו עליו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בסך של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וקנס נוסף בסך של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על החברה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המבקש הגיש ערעור לבית משפט המחוזי במחוז מרכז </w:t>
      </w:r>
      <w:r>
        <w:rPr>
          <w:rFonts w:cs="Arial" w:ascii="Arial" w:hAnsi="Arial"/>
          <w:rtl w:val="true"/>
        </w:rPr>
        <w:t>(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20919-05-15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26.9.16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טרם פורסם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בעוד הערעור תלוי ועומד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הצליח להסיר חלק מהמחדלים ולכן עונש המאסר בפועל </w:t>
      </w:r>
      <w:r>
        <w:rPr>
          <w:rFonts w:ascii="Arial" w:hAnsi="Arial" w:cs="Arial"/>
          <w:u w:val="single"/>
          <w:rtl w:val="true"/>
        </w:rPr>
        <w:t>הומתק ל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8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חודשים</w:t>
      </w:r>
      <w:r>
        <w:rPr>
          <w:rFonts w:ascii="Arial" w:hAnsi="Arial" w:cs="Arial"/>
          <w:rtl w:val="true"/>
        </w:rPr>
        <w:t xml:space="preserve"> וזאת ללא שינוי ביתר רכיבי גזר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ערעור שהוגשה על ידו לבית 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1688/14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דוד כץ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9.3.14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הורשע באי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לרשויות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לפי </w:t>
      </w:r>
      <w:hyperlink r:id="rId3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6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עמד על </w:t>
      </w:r>
      <w:r>
        <w:rPr>
          <w:rFonts w:ascii="Arial" w:hAnsi="Arial" w:cs="Arial"/>
          <w:u w:val="single"/>
          <w:rtl w:val="true"/>
        </w:rPr>
        <w:t xml:space="preserve">סך של </w:t>
      </w:r>
      <w:r>
        <w:rPr>
          <w:rFonts w:cs="Arial" w:ascii="Arial" w:hAnsi="Arial"/>
          <w:u w:val="single"/>
        </w:rPr>
        <w:t>900,000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בבית המשפט השלום </w:t>
      </w:r>
      <w:r>
        <w:rPr>
          <w:rFonts w:ascii="Arial" w:hAnsi="Arial" w:cs="Arial"/>
          <w:rtl w:val="true"/>
        </w:rPr>
        <w:t xml:space="preserve">נגזרו על המבקש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המדינה ערערה על גזר הדין ובית משפט המחוזי קיבל את הערעור וקבע כי המבקש </w:t>
      </w:r>
      <w:r>
        <w:rPr>
          <w:rFonts w:ascii="Arial" w:hAnsi="Arial" w:cs="Arial"/>
          <w:u w:val="single"/>
          <w:rtl w:val="true"/>
        </w:rPr>
        <w:t xml:space="preserve">ירצה </w:t>
      </w:r>
      <w:r>
        <w:rPr>
          <w:rFonts w:cs="Arial" w:ascii="Arial" w:hAnsi="Arial"/>
          <w:u w:val="single"/>
        </w:rPr>
        <w:t>6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ערעור שהג</w:t>
      </w:r>
      <w:r>
        <w:rPr>
          <w:rFonts w:ascii="Arial" w:hAnsi="Arial" w:cs="Arial"/>
          <w:rtl w:val="true"/>
        </w:rPr>
        <w:t>יש המבקש ל</w:t>
      </w:r>
      <w:r>
        <w:rPr>
          <w:rFonts w:ascii="Arial" w:hAnsi="Arial" w:cs="Arial"/>
          <w:rtl w:val="true"/>
        </w:rPr>
        <w:t>בית משפט העליון 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6167/11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ספקיוריטי המוקד המרכזי בע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19.2.12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המבקשת ומנהלה הורשעו על ידי בית משפט השלום ברמלה בעבירות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במועד לפי </w:t>
      </w:r>
      <w:hyperlink r:id="rId3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6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בגין העסקאות נשוא כתב האישום עמד על </w:t>
      </w:r>
      <w:r>
        <w:rPr>
          <w:rFonts w:ascii="Arial" w:hAnsi="Arial" w:cs="Arial"/>
          <w:u w:val="single"/>
          <w:rtl w:val="true"/>
        </w:rPr>
        <w:t xml:space="preserve">סך של </w:t>
      </w:r>
      <w:r>
        <w:rPr>
          <w:rFonts w:cs="Arial" w:ascii="Arial" w:hAnsi="Arial"/>
          <w:u w:val="single"/>
        </w:rPr>
        <w:t>800,522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אינו מופיע בהחלטת בית משפט העליון אלא בפסק הדין של בית משפט המחוזי במחוז מרכז ב</w:t>
      </w:r>
      <w:r>
        <w:rPr>
          <w:rFonts w:cs="Arial" w:ascii="Arial" w:hAnsi="Arial"/>
          <w:rtl w:val="true"/>
        </w:rPr>
        <w:t>-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47937-07-10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) (</w:t>
      </w:r>
      <w:r>
        <w:rPr>
          <w:rFonts w:cs="Arial" w:ascii="Arial" w:hAnsi="Arial"/>
        </w:rPr>
        <w:t>12.7.11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השלום השית עליו </w:t>
      </w:r>
      <w:r>
        <w:rPr>
          <w:rFonts w:cs="Arial" w:ascii="Arial" w:hAnsi="Arial"/>
          <w:u w:val="single"/>
        </w:rPr>
        <w:t>6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שירוצו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בסך של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150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המנהל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וקנס בסך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על המבקשת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המנהל והחברה הגישו ערעור על חומרת העונש ובעוד שהמדינה הגישה ערעור על קולת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המחוזי במחוז מרכז דחה את שני הערעורים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ערעור שהגישו המנהל והחברה לבית משפט העליון 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3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8507/09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24.1.10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442,130</w:t>
      </w:r>
      <w:r>
        <w:rPr>
          <w:u w:val="single"/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80,000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אלחלאוה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14.1.13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425,408</w:t>
      </w:r>
      <w:r>
        <w:rPr>
          <w:u w:val="single"/>
          <w:rtl w:val="true"/>
        </w:rPr>
        <w:t xml:space="preserve"> ₪</w:t>
      </w:r>
      <w:r>
        <w:rPr>
          <w:rtl w:val="true"/>
        </w:rPr>
        <w:t xml:space="preserve"> (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52555-06-12</w:t>
        </w:r>
      </w:hyperlink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20,000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hyperlink r:id="rId4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9.8.09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300,130</w:t>
      </w:r>
      <w:r>
        <w:rPr>
          <w:u w:val="single"/>
          <w:rtl w:val="true"/>
        </w:rPr>
        <w:t xml:space="preserve"> ₪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15,000</w:t>
      </w:r>
      <w:r>
        <w:rPr>
          <w:u w:val="single"/>
          <w:rtl w:val="true"/>
        </w:rPr>
        <w:t xml:space="preserve"> ₪. </w:t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11640/05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14.5.06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270,000</w:t>
      </w:r>
      <w:r>
        <w:rPr>
          <w:u w:val="single"/>
          <w:rtl w:val="true"/>
        </w:rPr>
        <w:t xml:space="preserve"> ₪.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100,000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hyperlink r:id="rId5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4173/15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29.6.15</w:t>
      </w:r>
      <w:r>
        <w:rPr>
          <w:rtl w:val="true"/>
        </w:rPr>
        <w:t xml:space="preserve">).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400,000</w:t>
      </w:r>
      <w:r>
        <w:rPr>
          <w:u w:val="single"/>
          <w:rtl w:val="true"/>
        </w:rPr>
        <w:t xml:space="preserve"> </w:t>
      </w:r>
      <w:r>
        <w:rPr>
          <w:rtl w:val="true"/>
        </w:rPr>
        <w:t xml:space="preserve">₪ </w:t>
      </w:r>
      <w:r>
        <w:rPr>
          <w:rtl w:val="true"/>
        </w:rPr>
        <w:t>והריבית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195,000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20,000</w:t>
      </w:r>
      <w:r>
        <w:rPr>
          <w:rtl w:val="true"/>
        </w:rPr>
        <w:t xml:space="preserve"> ₪.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שנדחה</w:t>
      </w:r>
      <w:r>
        <w:rPr>
          <w:rtl w:val="true"/>
        </w:rPr>
        <w:t xml:space="preserve">, </w:t>
      </w:r>
      <w:r>
        <w:rPr>
          <w:rtl w:val="true"/>
        </w:rPr>
        <w:t>ונדחתה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למרות העובדה שמדובר בעבירה מסוג עוון לפי </w:t>
      </w:r>
      <w:hyperlink r:id="rId5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יש לזכור שסכום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עומד על למעלה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1.3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מיליון 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שניתן לראות בבירור מפסיקתו של בית המשפט העליון שהובאה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היה מדובר באותו סוג עבירה ועם סכומי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שהם משמעותית נמוכים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1.3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מיליון 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עונשי מאסר בפועל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</w:t>
      </w:r>
      <w:r>
        <w:rPr>
          <w:rFonts w:ascii="Arial" w:hAnsi="Arial" w:cs="Arial"/>
          <w:b/>
          <w:b/>
          <w:bCs/>
          <w:u w:val="single"/>
          <w:rtl w:val="true"/>
        </w:rPr>
        <w:t>לכל הפחות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שירוצו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מכאן מסקנתי שמתחם העונש ההולם 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מתחיל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משישה חודשי מאסר שיכול וירוצו בעבודות שירות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למתחם הקנס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ממילא הצדדים הסכימו על סכום קנס מוגדר מראש בסך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ולכן מתייתר הצורך להגדיר את גבולות מתחם הקנס ההולם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משקבעתי שמתחם העונש ההולם בנוגע לרכיב המאסר בפועל </w:t>
      </w:r>
      <w:r>
        <w:rPr>
          <w:rFonts w:ascii="Arial" w:hAnsi="Arial" w:cs="Arial"/>
          <w:u w:val="single"/>
          <w:rtl w:val="true"/>
        </w:rPr>
        <w:t>מתחיל</w:t>
      </w:r>
      <w:r>
        <w:rPr>
          <w:rFonts w:ascii="Arial" w:hAnsi="Arial" w:cs="Arial"/>
          <w:rtl w:val="true"/>
        </w:rPr>
        <w:t xml:space="preserve"> משישה חודשי מאסר שיכול וירוצו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מתייתר הצורך לדון בטענה של אכיפה בררנית שמעצם טיבה איננה משפיעה על גבולות המתחם וכל מטרתה להביא להקלה בעונש </w:t>
      </w:r>
      <w:r>
        <w:rPr>
          <w:rFonts w:ascii="Arial" w:hAnsi="Arial" w:cs="Arial"/>
          <w:u w:val="single"/>
          <w:rtl w:val="true"/>
        </w:rPr>
        <w:t>בתוך</w:t>
      </w:r>
      <w:r>
        <w:rPr>
          <w:rFonts w:ascii="Arial" w:hAnsi="Arial" w:cs="Arial"/>
          <w:rtl w:val="true"/>
        </w:rPr>
        <w:t xml:space="preserve"> המתחם שנקבע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שכבר הוסבר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ממילא עותרת לרף התחתון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הטענה לאכיפה בררנית הפכה לתיאורטית לחלוטין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למען השלמת התמונה בפני הקורא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אסביר כעת מדוע יש לדחות את הטענה של אכיפה בררנית גם לגופו של עניין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דחיית טענת האכיפה הבררנית לגופו של עניין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בטרם שאפרט בהרחבה את הטענה של אכיפה בררנית שהועלתה על ידי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מן הראוי להבהיר את המצב המשפטי בעניינו של אנואר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בכתב האישום שבפניי נאמר שהנאשם  הסכים שהוא יירשם כדירקטור ובעל מניות בחברת רשת קווים על מנת לאפשר לאנואר לנכות באמצעותה את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הגלום בחשבוניות כוזבות שקיבל מצד ג</w:t>
      </w:r>
      <w:r>
        <w:rPr>
          <w:rFonts w:cs="Arial" w:ascii="Arial" w:hAnsi="Arial"/>
          <w:rtl w:val="true"/>
        </w:rPr>
        <w:t xml:space="preserve">'. </w:t>
      </w:r>
      <w:r>
        <w:rPr>
          <w:rFonts w:ascii="Arial" w:hAnsi="Arial" w:cs="Arial"/>
          <w:rtl w:val="true"/>
        </w:rPr>
        <w:t>הנאשם הודה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ברור שאין מחלוקת בין הצדדים שאותו אנואר הוא אכן הדמות הדומיננטית והמובילה בביצוע עבירות המס שנובעות מאותו רישום פיקטיבי של הנאשם כבעלים וכדירקטור של חברת רשת קווים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כנגד אנואר הוגשו שני כתבי אישום בעבירות מס לבית משפט השלום ברמלה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ושניהם נדונו בפניי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כתב האישום בעניינו של אנואר שרלוונטי לתיק שבפני הוא </w:t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19859-11-17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ואשר בו מופיעים אנואר וחברת רשת קווים כנאשמים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גזר הדין בעניינם ניתן ביום </w:t>
      </w:r>
      <w:r>
        <w:rPr>
          <w:rFonts w:cs="Arial" w:ascii="Arial" w:hAnsi="Arial"/>
        </w:rPr>
        <w:t>1.7.21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לפי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אנואר מינה שני אנשים שונים לשמש כבעלי מניות ודירקטורים בחברת רשת קווים שבאמצעותה ניכה את סכומי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שגלומים בחשבוניות פיקטיביות שקיבל מצדדי 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וזאת על מנת לרמות את שלטונות המס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שני הגורמים שמונו על ידי אנואר כמנהלים וכדירקטורים בחברת רשת קווים הם כדלקמן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פסקאות </w:t>
      </w:r>
      <w:r>
        <w:rPr>
          <w:rFonts w:cs="Arial" w:ascii="Arial" w:hAnsi="Arial"/>
        </w:rPr>
        <w:t>5-2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לגזר הדין של אנואר מיום </w:t>
      </w:r>
      <w:r>
        <w:rPr>
          <w:rFonts w:cs="Arial" w:ascii="Arial" w:hAnsi="Arial"/>
        </w:rPr>
        <w:t>1.7.21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שבפני כעת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מוחמד אבו רביעה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 xml:space="preserve">שבאמצעותו נעשה ניכוי של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חשבוניות כוזבות של חברת רשת קווים בסכום כולל של </w:t>
      </w:r>
      <w:r>
        <w:rPr>
          <w:rFonts w:cs="Arial" w:ascii="Arial" w:hAnsi="Arial"/>
        </w:rPr>
        <w:t>8,829,704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כאשר 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הגלום בהן הוא </w:t>
      </w:r>
      <w:r>
        <w:rPr>
          <w:rFonts w:cs="Arial" w:ascii="Arial" w:hAnsi="Arial"/>
        </w:rPr>
        <w:t>1,346,904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ListParagraph"/>
        <w:spacing w:lineRule="auto" w:line="360"/>
        <w:ind w:start="10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אדם בשם מוחמד אלצאנע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מוחמד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 xml:space="preserve">שבאמצעותו נעשה ניכוי של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חשבוניות כוזבות בסך של </w:t>
      </w:r>
      <w:r>
        <w:rPr>
          <w:rFonts w:cs="Arial" w:ascii="Arial" w:hAnsi="Arial"/>
        </w:rPr>
        <w:t>9,806,070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כאשר 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הגלום בהן הוא </w:t>
      </w:r>
      <w:r>
        <w:rPr>
          <w:rFonts w:cs="Arial" w:ascii="Arial" w:hAnsi="Arial"/>
        </w:rPr>
        <w:t>1,442,840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וכעת אסביר את הטענה של אכיפה בררנית שאותה העלה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טוען בתמצית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בתיקים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חשודים מסוימים לא הועמדו לדין על אף שהסכימו להירשם באופן טכני כבעלי מניות וכדירקטורים של חברת קש שהוקמה על ידי אחר כדי שאותו אחר יוכל להונות את שלטונות המס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יוצא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שהעמדתו של הנאשם לדין בגין הסכמתו לשמש כבעל מניות וכדירקטור בחברת רשת קווים שהוקמה כחברת קש על ידי אנואר לשם רמיית שלטונות המס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היא בגדר הפליה פסולה שמצדיקה הקלה משמעותית בעונשו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הטענה של אכיפה בררנית שהעלה הנאשם היא מופרכת מעיקרה ואין בה ממש ולכן דינה להידחות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הטענה של אכיפה בררנית יש לבחון תוך התייחסות לשלוש שאלות </w:t>
      </w:r>
      <w:r>
        <w:rPr>
          <w:rFonts w:cs="Arial" w:ascii="Arial" w:hAnsi="Arial"/>
          <w:rtl w:val="true"/>
        </w:rPr>
        <w:t>(</w:t>
      </w:r>
      <w:hyperlink r:id="rId6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8551/11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סלכגי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12.8.12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14-12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דינה של כבוד השופטת ברק ארז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rFonts w:cs="David"/>
          <w:sz w:val="24"/>
          <w:sz w:val="24"/>
          <w:rtl w:val="true"/>
        </w:rPr>
        <w:t>א</w:t>
      </w:r>
      <w:r>
        <w:rPr>
          <w:rFonts w:cs="David"/>
          <w:sz w:val="24"/>
          <w:rtl w:val="true"/>
        </w:rPr>
        <w:t>.</w:t>
        <w:tab/>
      </w:r>
      <w:r>
        <w:rPr>
          <w:rFonts w:cs="David"/>
          <w:sz w:val="24"/>
          <w:sz w:val="24"/>
          <w:u w:val="single"/>
          <w:rtl w:val="true"/>
        </w:rPr>
        <w:t>קבוצת</w:t>
      </w:r>
      <w:r>
        <w:rPr>
          <w:sz w:val="24"/>
          <w:sz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u w:val="single"/>
          <w:rtl w:val="true"/>
        </w:rPr>
        <w:t>השוויון</w:t>
      </w:r>
      <w:r>
        <w:rPr>
          <w:rFonts w:cs="David"/>
          <w:sz w:val="24"/>
          <w:u w:val="single"/>
          <w:rtl w:val="true"/>
        </w:rPr>
        <w:t>: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היא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קבוצת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השוויון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אשר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עמה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נמנה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שמעלה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טענת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האכיפה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הבררנית</w:t>
      </w:r>
      <w:r>
        <w:rPr>
          <w:rFonts w:cs="David"/>
          <w:sz w:val="24"/>
          <w:rtl w:val="true"/>
        </w:rPr>
        <w:t>;</w:t>
      </w:r>
    </w:p>
    <w:p>
      <w:pPr>
        <w:pStyle w:val="BodyText"/>
        <w:ind w:firstLine="360" w:start="360" w:end="0"/>
        <w:jc w:val="both"/>
        <w:rPr>
          <w:rFonts w:cs="David"/>
          <w:sz w:val="24"/>
        </w:rPr>
      </w:pPr>
      <w:r>
        <w:rPr>
          <w:rFonts w:cs="David"/>
          <w:sz w:val="24"/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rFonts w:cs="David"/>
          <w:sz w:val="24"/>
          <w:sz w:val="24"/>
          <w:rtl w:val="true"/>
        </w:rPr>
        <w:t>ב</w:t>
      </w:r>
      <w:r>
        <w:rPr>
          <w:rFonts w:cs="David"/>
          <w:sz w:val="24"/>
          <w:rtl w:val="true"/>
        </w:rPr>
        <w:t>.</w:t>
        <w:tab/>
      </w:r>
      <w:r>
        <w:rPr>
          <w:rFonts w:cs="David"/>
          <w:sz w:val="24"/>
          <w:sz w:val="24"/>
          <w:u w:val="single"/>
          <w:rtl w:val="true"/>
        </w:rPr>
        <w:t>אכיפה</w:t>
      </w:r>
      <w:r>
        <w:rPr>
          <w:sz w:val="24"/>
          <w:sz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u w:val="single"/>
          <w:rtl w:val="true"/>
        </w:rPr>
        <w:t>בררנית</w:t>
      </w:r>
      <w:r>
        <w:rPr>
          <w:sz w:val="24"/>
          <w:sz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u w:val="single"/>
          <w:rtl w:val="true"/>
        </w:rPr>
        <w:t>או</w:t>
      </w:r>
      <w:r>
        <w:rPr>
          <w:sz w:val="24"/>
          <w:sz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u w:val="single"/>
          <w:rtl w:val="true"/>
        </w:rPr>
        <w:t>אכיפה</w:t>
      </w:r>
      <w:r>
        <w:rPr>
          <w:sz w:val="24"/>
          <w:sz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u w:val="single"/>
          <w:rtl w:val="true"/>
        </w:rPr>
        <w:t>חלקית</w:t>
      </w:r>
      <w:r>
        <w:rPr>
          <w:sz w:val="24"/>
          <w:sz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u w:val="single"/>
          <w:rtl w:val="true"/>
        </w:rPr>
        <w:t>לגיטימית</w:t>
      </w:r>
      <w:r>
        <w:rPr>
          <w:rFonts w:cs="David"/>
          <w:sz w:val="24"/>
          <w:u w:val="single"/>
          <w:rtl w:val="true"/>
        </w:rPr>
        <w:t>: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באותם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מקרים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שבהם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אכן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הרשויות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לא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אוכפות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או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לא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אוכפות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באותה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מידה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כלפי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שנמנה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באותה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קבוצת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שיוויון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כיצד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יש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לאבחן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מצבים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אכיפה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בררנית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פסולה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ממצבים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רגילים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ולגיטימיים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אכיפה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חלקית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מטעמים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מגבלת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משאבים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וסדרי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עדיפויות</w:t>
      </w:r>
      <w:r>
        <w:rPr>
          <w:rFonts w:cs="David"/>
          <w:sz w:val="24"/>
          <w:rtl w:val="true"/>
        </w:rPr>
        <w:t>;</w:t>
      </w:r>
    </w:p>
    <w:p>
      <w:pPr>
        <w:pStyle w:val="BodyText"/>
        <w:ind w:hanging="720" w:start="1440" w:end="0"/>
        <w:jc w:val="both"/>
        <w:rPr>
          <w:rFonts w:cs="David"/>
          <w:sz w:val="24"/>
        </w:rPr>
      </w:pPr>
      <w:r>
        <w:rPr>
          <w:rFonts w:cs="David"/>
          <w:sz w:val="24"/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rFonts w:cs="David"/>
          <w:sz w:val="24"/>
          <w:sz w:val="24"/>
          <w:rtl w:val="true"/>
        </w:rPr>
        <w:t>ג</w:t>
      </w:r>
      <w:r>
        <w:rPr>
          <w:rFonts w:cs="David"/>
          <w:sz w:val="24"/>
          <w:rtl w:val="true"/>
        </w:rPr>
        <w:t>.</w:t>
        <w:tab/>
      </w:r>
      <w:r>
        <w:rPr>
          <w:rFonts w:cs="David"/>
          <w:sz w:val="24"/>
          <w:sz w:val="24"/>
          <w:u w:val="single"/>
          <w:rtl w:val="true"/>
        </w:rPr>
        <w:t>התשתית</w:t>
      </w:r>
      <w:r>
        <w:rPr>
          <w:sz w:val="24"/>
          <w:sz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u w:val="single"/>
          <w:rtl w:val="true"/>
        </w:rPr>
        <w:t>הראייתית</w:t>
      </w:r>
      <w:r>
        <w:rPr>
          <w:rFonts w:cs="David"/>
          <w:sz w:val="24"/>
          <w:u w:val="single"/>
          <w:rtl w:val="true"/>
        </w:rPr>
        <w:t>: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הוא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הנטל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הראייתי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המוטל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שמעלה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טענה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אכיפה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בררנית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באופן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כללי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ובמשפט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הפלילי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בפרט</w:t>
      </w:r>
      <w:r>
        <w:rPr>
          <w:rFonts w:cs="David"/>
          <w:sz w:val="24"/>
          <w:rtl w:val="true"/>
        </w:rPr>
        <w:t>.</w:t>
      </w:r>
    </w:p>
    <w:p>
      <w:pPr>
        <w:pStyle w:val="BodyText"/>
        <w:ind w:end="0"/>
        <w:jc w:val="both"/>
        <w:rPr>
          <w:rFonts w:cs="David"/>
          <w:sz w:val="24"/>
        </w:rPr>
      </w:pPr>
      <w:r>
        <w:rPr>
          <w:rFonts w:cs="David"/>
          <w:sz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לגבי קבוצת השוויון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rtl w:val="true"/>
        </w:rPr>
        <w:t>בעיני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קבוצת השוויון הרלוונטית לנאשם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הם כל אלה שהיו מעורבים בביצוע עבירות מס </w:t>
      </w:r>
      <w:r>
        <w:rPr>
          <w:rFonts w:ascii="Arial" w:hAnsi="Arial" w:cs="Arial"/>
          <w:u w:val="single"/>
          <w:rtl w:val="true"/>
        </w:rPr>
        <w:t>באמצעות חברת רשת קווים</w:t>
      </w:r>
      <w:r>
        <w:rPr>
          <w:rFonts w:cs="Arial" w:ascii="Arial" w:hAnsi="Arial"/>
          <w:u w:val="single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והם אנואר ומוחמד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וביתר פירוט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לגבי אנואר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אכן הועמד לדין פלילי בגין עבירות המס שביצע באמצעות חברת רשת קווים תוך שימוש בנאשם שבפני ובמוחמד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ודוק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כנגד אנואר הוגש כתב אישום שייחס לו ביצוע עבירות מס מסוג פשע לפי </w:t>
      </w:r>
      <w:hyperlink r:id="rId6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ascii="Arial" w:hAnsi="Arial" w:cs="Arial"/>
          <w:rtl w:val="true"/>
        </w:rPr>
        <w:t xml:space="preserve"> ולא עבירות עוון לפי </w:t>
      </w:r>
      <w:hyperlink r:id="rId63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כפי שנעשה עם הנאשם שבפני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אנואר נדון לעונש מאסר בפועל מאחורי סורג ובריח ולתקופה ממושכת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בהשוואה שבין הנאשם שבפני לבין אנואר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ברור שאין שחר לטענה של אכיפה בררנית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לגבי חברת רשת קווים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היא הועמדה לדין יחד עם אנואר והורשעה בעבירות מס מסוג פשע לפי </w:t>
      </w:r>
      <w:hyperlink r:id="rId6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בהשוואה שבין הנאשם שבפני לבין חברת רשת קווים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ברור שגם כאן אין שחר לטענה של אכיפה בררנית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לגבי מוחמד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שרלוונטי לגביו הוא קרוב לסכום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שרלוונטי לנאשם שבפני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מוחמד הועמד לדין פלילי בבית המשפט השלום באשדוד בגין עבירה לפי </w:t>
      </w:r>
      <w:hyperlink r:id="rId66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6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35980-11-17</w:t>
        </w:r>
      </w:hyperlink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מדובר באותה עבירה בדיוק שיוחסה לנאשם שבפני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5.10.21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נגזר דינו של מוחמד לשישה חודשי מאסר בפועל שירוצו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ומאסר על תנאי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במילים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מוחמד קיבל </w:t>
      </w:r>
      <w:r>
        <w:rPr>
          <w:rFonts w:ascii="Arial" w:hAnsi="Arial" w:cs="Arial"/>
          <w:u w:val="single"/>
          <w:rtl w:val="true"/>
        </w:rPr>
        <w:t>בדיוק את אותו עונש</w:t>
      </w:r>
      <w:r>
        <w:rPr>
          <w:rFonts w:ascii="Arial" w:hAnsi="Arial" w:cs="Arial"/>
          <w:rtl w:val="true"/>
        </w:rPr>
        <w:t xml:space="preserve"> שלו עותרת המאשימה לנאשם שבפני היום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די בכך על מנת למוטט לחלוטין את הטענה של אכיפה בררנית שהעלה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העובדה שכל אלה שנמצאים בקבוצת השוויון שרלוונטית לנאשם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אנואר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מוחמד וחברת רשת קווים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אכן הועמדו לדין והורשעו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 בה כשלעצמה על מנת למוטט לחלוטין את הטענה של אכיפה בררנית שבפי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מעבר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טען שאשתו של אנואר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שגם היא שימשה כבעלת מניות ודירקטור בחברה שהוקמה על ידי אנואר כדי להונות את רשויות המס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הועמדה לדין פלילי בגין עבירות המס שביצע באמצעותה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טען שיש להקל בעונשו בשל הפלייתו מעצם כך שהועמד לדין ובעוד שאשתו של אנואר לא הועמדה לדין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טענה זו אין בה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אשתו של אנואר לא נרשמה כבעלת מניות או דירקטור בחברת רשת קווים שרלוונטית לענייננו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בחברה אחרת לגמרי שלא קשורה לנאשם שבפני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במילים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אשתו של אנואר היא לא חלק מקבוצת השוויון שרלוונטית לטענה של אכיפה בררנית שהעלה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די בכך על מנת שטענה זו תידחה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כך 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 אותם חשודים בתיקים אחרים שלטענת הנאשם לא הועמדו לדין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אף שנתנו את שמם באופן טכני כדי לשמש כבעלי מניות או דירקטורים בחברות קש שהוקמו במטרה להונות את רשויות המס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אותם חשודים אינם נמנים על קבוצת השוויון שרלוונטית לתיק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מהטעם הפשוט שאין להם כל זיקה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מכל מין וסוג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לחברת רשת קווים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קיימות שלוש שאלות שעל בית המשפט לבחון בבואו לבדוק טענה של אכיפה בררנית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קבוצת השוויון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האם בתוך אותה קבוצת שוויון מדובר באכיפה בררנית או באכיפה חלקית לגיטימית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שלישית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רמת ההוכחה הנדרשת מהנאשם כדי שיעבור נטל הבאת הראיות למאשימה להפריך את הטענה של אכיפה בררנית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השאלה השנייה והשלישית נגזרות מהשאלה הראשונה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הווה אומר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הבדיקה האם מדובר באכיפה בררנית או באכיפה חלקית לגיטימית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הבדיקה האם הנאשם עמד בנטל הראיתי הנדרש להוכחת הטענה של אכיפה בררנית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כפופות לכך שהדיון המשווה נוגע לשאר חברי קבוצת השוויון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ההשוואה שעושה הנאשם בינו לבין אחרים שלטענתו עשו מעשים דומים לשלו ובכל זאת לא הועמדו לדין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שגויה מהיסוד בשל כך שאותם אחרים הם לא חלק מקבוצת השוויון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טענתו לאכיפה בררנית נדחית והתייתר הצורך לבחון את השאלה השנייה והשלישית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הרבה מעבר לנדרש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התרשמתי שהנאשם עמד בנטל ההוכחה שנקבע בפסיקה על מנת להוכיח את הטענה של אכיפה בררנית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6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6328/12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פרץ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10.9.13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הלכת פרץ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כבוד הנשיא גרוניס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לחוות דעתו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קבע כי לצורך העברת הנטל לשכמה של הרשות שפעולותיה אינן מהוות אכיפה בררנית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הנאשם להראות כי </w:t>
      </w:r>
      <w:r>
        <w:rPr>
          <w:rFonts w:ascii="Arial" w:hAnsi="Arial" w:cs="Arial"/>
          <w:b/>
          <w:b/>
          <w:bCs/>
          <w:u w:val="single"/>
          <w:rtl w:val="true"/>
        </w:rPr>
        <w:t>לאורך זמן ובאופן שיטתי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או קרוב לכך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קיבלו הרשויות המנהליות במקרים דומים החלטות שונות מאלה שהתקבלו במקרה שלו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יוצא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גישתו של כבוד הנשיא גרוניס בהלכת </w:t>
      </w:r>
      <w:r>
        <w:rPr>
          <w:rFonts w:ascii="Arial" w:hAnsi="Arial" w:cs="Arial"/>
          <w:b/>
          <w:b/>
          <w:bCs/>
          <w:rtl w:val="true"/>
        </w:rPr>
        <w:t>פרץ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שתתקבל טענתו של הנאשם לאכיפה בררנית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הנאשם להראות לבית המשפט שרשויות התביעה </w:t>
      </w:r>
      <w:r>
        <w:rPr>
          <w:rFonts w:ascii="Arial" w:hAnsi="Arial" w:cs="Arial"/>
          <w:b/>
          <w:b/>
          <w:bCs/>
          <w:u w:val="single"/>
          <w:rtl w:val="true"/>
        </w:rPr>
        <w:t>לאורך זמן ובאופן שיטתי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אינן מגישות כתבי אישום כנגד חשודים שהסכימו שיירשמו באופן טכני כבעלי מניות וכדירקטורים בחברות קש שהוקמו על מנת להונות את שלטונות המס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ברור שהנאשם לא עמד בנטל האמור והראיה הברורה לכך היא כתב האישום שהוגש כנגד מוחמד ושכבר הורשע ונגזר דינו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יש לציין שבהלכת</w:t>
      </w:r>
      <w:r>
        <w:rPr>
          <w:rFonts w:ascii="Arial" w:hAnsi="Arial" w:cs="Arial"/>
          <w:b/>
          <w:b/>
          <w:bCs/>
          <w:rtl w:val="true"/>
        </w:rPr>
        <w:t xml:space="preserve"> פרץ</w:t>
      </w:r>
      <w:r>
        <w:rPr>
          <w:rFonts w:ascii="Arial" w:hAnsi="Arial" w:cs="Arial"/>
          <w:rtl w:val="true"/>
        </w:rPr>
        <w:t xml:space="preserve"> כבוד השופט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ובראן הסכים עם כבוד הנשיא גרוניס לעניין רמת ההוכחה הנדרשת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לחוות דעתו של כבוד השופט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כבוד השופט פוגלמן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בדעת יחיד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בדעה שדי בהצבעה על מקרים ספורים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ובמקרים מסוימים על מקרה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העברת הנטל לשכמה של הרשות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דעת הרוב היא של כבוד הנשיא גרוניס וכבוד השופט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 ולכן זו ההלכה שמחייבת ערכאות נמוכות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לא עמד בנטל להוכיח שרשויות התביעה לאורך זמן ובאופן שיטתי אינם מגישים כתבי אישום נגד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אנשי קש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שנרשמו כבעלי מניות או דירקטורים ב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חברות קש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שהוקמו על מנת לרמות את שלטונות המס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העונש המתאים בתוך מתחם העונש ההולם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rtl w:val="true"/>
        </w:rPr>
        <w:t>המאשימה טענה שיש להשית על הנאשם שישה חודשי מאסר שירוצו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עמדה זו לוקחת בחשבון לקולא את כל נסיבותיו האישיות של הנאשם ועמדה זו ממילא היא הגבול התחתון של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יובהר שלא התרשמתי שקיימות נסיבות חריגות אצל הנאשם שיצדיקו סטייה לקולא ממתחם העונש ההולם שקבעתי מטעמי שיקום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שירוצו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יבצע את עבודות השירות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בימים ובשעות שהוגדרו על ידי הממונה על עבודות שירות בחוות דעתו מיום </w:t>
      </w:r>
      <w:r>
        <w:rPr>
          <w:rFonts w:cs="Arial" w:ascii="Arial" w:hAnsi="Arial"/>
        </w:rPr>
        <w:t>31.8.22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1.1.23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לא יבצע עבירה לפי </w:t>
      </w:r>
      <w:hyperlink r:id="rId7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bookmarkStart w:id="10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חשוון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אוקטובר </w:t>
      </w:r>
      <w:r>
        <w:rPr>
          <w:rFonts w:cs="Arial" w:ascii="Arial" w:hAnsi="Arial"/>
          <w:b/>
          <w:bCs/>
        </w:rPr>
        <w:t>2022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2"/>
      <w:footerReference w:type="default" r:id="rId7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12681-12-17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אבו רביעה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BodyTextChar">
    <w:name w:val="Body Text Char"/>
    <w:qFormat/>
    <w:rPr>
      <w:rFonts w:ascii="Times New Roman" w:hAnsi="Times New Roman" w:eastAsia="Times New Roman" w:cs="Times New Roman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  <w:sz w:val="22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" TargetMode="External"/><Relationship Id="rId4" Type="http://schemas.openxmlformats.org/officeDocument/2006/relationships/hyperlink" Target="http://www.nevo.co.il/law/72813/117.a.13" TargetMode="External"/><Relationship Id="rId5" Type="http://schemas.openxmlformats.org/officeDocument/2006/relationships/hyperlink" Target="http://www.nevo.co.il/law/72813/117.a.3" TargetMode="External"/><Relationship Id="rId6" Type="http://schemas.openxmlformats.org/officeDocument/2006/relationships/hyperlink" Target="http://www.nevo.co.il/law/72813/117.a.6" TargetMode="External"/><Relationship Id="rId7" Type="http://schemas.openxmlformats.org/officeDocument/2006/relationships/hyperlink" Target="http://www.nevo.co.il/law/72813/117.b" TargetMode="External"/><Relationship Id="rId8" Type="http://schemas.openxmlformats.org/officeDocument/2006/relationships/hyperlink" Target="http://www.nevo.co.il/law/71858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d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84255" TargetMode="External"/><Relationship Id="rId13" Type="http://schemas.openxmlformats.org/officeDocument/2006/relationships/hyperlink" Target="http://www.nevo.co.il/law/84255/216" TargetMode="External"/><Relationship Id="rId14" Type="http://schemas.openxmlformats.org/officeDocument/2006/relationships/hyperlink" Target="http://www.nevo.co.il/law/72813/117.a.3" TargetMode="External"/><Relationship Id="rId15" Type="http://schemas.openxmlformats.org/officeDocument/2006/relationships/hyperlink" Target="http://www.nevo.co.il/law/72813" TargetMode="External"/><Relationship Id="rId16" Type="http://schemas.openxmlformats.org/officeDocument/2006/relationships/hyperlink" Target="http://www.nevo.co.il/law/72813" TargetMode="External"/><Relationship Id="rId17" Type="http://schemas.openxmlformats.org/officeDocument/2006/relationships/hyperlink" Target="http://www.nevo.co.il/law/71858" TargetMode="External"/><Relationship Id="rId18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d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2813/117.a" TargetMode="External"/><Relationship Id="rId23" Type="http://schemas.openxmlformats.org/officeDocument/2006/relationships/hyperlink" Target="http://www.nevo.co.il/law/72813" TargetMode="External"/><Relationship Id="rId24" Type="http://schemas.openxmlformats.org/officeDocument/2006/relationships/hyperlink" Target="http://www.nevo.co.il/law/72813/117.a" TargetMode="External"/><Relationship Id="rId25" Type="http://schemas.openxmlformats.org/officeDocument/2006/relationships/hyperlink" Target="http://www.nevo.co.il/law/72813" TargetMode="External"/><Relationship Id="rId26" Type="http://schemas.openxmlformats.org/officeDocument/2006/relationships/hyperlink" Target="http://www.nevo.co.il/case/21534199" TargetMode="External"/><Relationship Id="rId27" Type="http://schemas.openxmlformats.org/officeDocument/2006/relationships/hyperlink" Target="http://www.nevo.co.il/case/4104504" TargetMode="External"/><Relationship Id="rId28" Type="http://schemas.openxmlformats.org/officeDocument/2006/relationships/hyperlink" Target="http://www.nevo.co.il/law/72813/117.a.3" TargetMode="External"/><Relationship Id="rId29" Type="http://schemas.openxmlformats.org/officeDocument/2006/relationships/hyperlink" Target="http://www.nevo.co.il/law/72813/117.a.13" TargetMode="External"/><Relationship Id="rId30" Type="http://schemas.openxmlformats.org/officeDocument/2006/relationships/hyperlink" Target="http://www.nevo.co.il/law/72813" TargetMode="External"/><Relationship Id="rId31" Type="http://schemas.openxmlformats.org/officeDocument/2006/relationships/hyperlink" Target="http://www.nevo.co.il/case/20266521" TargetMode="External"/><Relationship Id="rId32" Type="http://schemas.openxmlformats.org/officeDocument/2006/relationships/hyperlink" Target="http://www.nevo.co.il/case/13055117" TargetMode="External"/><Relationship Id="rId33" Type="http://schemas.openxmlformats.org/officeDocument/2006/relationships/hyperlink" Target="http://www.nevo.co.il/law/72813/117.a.6" TargetMode="External"/><Relationship Id="rId34" Type="http://schemas.openxmlformats.org/officeDocument/2006/relationships/hyperlink" Target="http://www.nevo.co.il/law/72813" TargetMode="External"/><Relationship Id="rId35" Type="http://schemas.openxmlformats.org/officeDocument/2006/relationships/hyperlink" Target="http://www.nevo.co.il/case/5592483" TargetMode="External"/><Relationship Id="rId36" Type="http://schemas.openxmlformats.org/officeDocument/2006/relationships/hyperlink" Target="http://www.nevo.co.il/law/72813/117.a.6" TargetMode="External"/><Relationship Id="rId37" Type="http://schemas.openxmlformats.org/officeDocument/2006/relationships/hyperlink" Target="http://www.nevo.co.il/law/72813" TargetMode="External"/><Relationship Id="rId38" Type="http://schemas.openxmlformats.org/officeDocument/2006/relationships/hyperlink" Target="http://www.nevo.co.il/case/5559086" TargetMode="External"/><Relationship Id="rId39" Type="http://schemas.openxmlformats.org/officeDocument/2006/relationships/hyperlink" Target="http://www.nevo.co.il/case/6131155" TargetMode="External"/><Relationship Id="rId40" Type="http://schemas.openxmlformats.org/officeDocument/2006/relationships/hyperlink" Target="http://www.nevo.co.il/law/72813/117.a" TargetMode="External"/><Relationship Id="rId41" Type="http://schemas.openxmlformats.org/officeDocument/2006/relationships/hyperlink" Target="http://www.nevo.co.il/law/72813" TargetMode="External"/><Relationship Id="rId42" Type="http://schemas.openxmlformats.org/officeDocument/2006/relationships/hyperlink" Target="http://www.nevo.co.il/case/5568778" TargetMode="External"/><Relationship Id="rId43" Type="http://schemas.openxmlformats.org/officeDocument/2006/relationships/hyperlink" Target="http://www.nevo.co.il/law/72813/117.a" TargetMode="External"/><Relationship Id="rId44" Type="http://schemas.openxmlformats.org/officeDocument/2006/relationships/hyperlink" Target="http://www.nevo.co.il/law/72813" TargetMode="External"/><Relationship Id="rId45" Type="http://schemas.openxmlformats.org/officeDocument/2006/relationships/hyperlink" Target="http://www.nevo.co.il/law/84255/216" TargetMode="External"/><Relationship Id="rId46" Type="http://schemas.openxmlformats.org/officeDocument/2006/relationships/hyperlink" Target="http://www.nevo.co.il/law/84255" TargetMode="External"/><Relationship Id="rId47" Type="http://schemas.openxmlformats.org/officeDocument/2006/relationships/hyperlink" Target="http://www.nevo.co.il/case/3746266" TargetMode="External"/><Relationship Id="rId48" Type="http://schemas.openxmlformats.org/officeDocument/2006/relationships/hyperlink" Target="http://www.nevo.co.il/case/6058869" TargetMode="External"/><Relationship Id="rId49" Type="http://schemas.openxmlformats.org/officeDocument/2006/relationships/hyperlink" Target="http://www.nevo.co.il/law/72813/117.a" TargetMode="External"/><Relationship Id="rId50" Type="http://schemas.openxmlformats.org/officeDocument/2006/relationships/hyperlink" Target="http://www.nevo.co.il/law/72813" TargetMode="External"/><Relationship Id="rId51" Type="http://schemas.openxmlformats.org/officeDocument/2006/relationships/hyperlink" Target="http://www.nevo.co.il/case/6181500" TargetMode="External"/><Relationship Id="rId52" Type="http://schemas.openxmlformats.org/officeDocument/2006/relationships/hyperlink" Target="http://www.nevo.co.il/law/72813/117.a" TargetMode="External"/><Relationship Id="rId53" Type="http://schemas.openxmlformats.org/officeDocument/2006/relationships/hyperlink" Target="http://www.nevo.co.il/law/72813" TargetMode="External"/><Relationship Id="rId54" Type="http://schemas.openxmlformats.org/officeDocument/2006/relationships/hyperlink" Target="http://www.nevo.co.il/case/20356757" TargetMode="External"/><Relationship Id="rId55" Type="http://schemas.openxmlformats.org/officeDocument/2006/relationships/hyperlink" Target="http://www.nevo.co.il/law/72813/117.a.6" TargetMode="External"/><Relationship Id="rId56" Type="http://schemas.openxmlformats.org/officeDocument/2006/relationships/hyperlink" Target="http://www.nevo.co.il/law/72813" TargetMode="External"/><Relationship Id="rId57" Type="http://schemas.openxmlformats.org/officeDocument/2006/relationships/hyperlink" Target="http://www.nevo.co.il/law/72813/117.a" TargetMode="External"/><Relationship Id="rId58" Type="http://schemas.openxmlformats.org/officeDocument/2006/relationships/hyperlink" Target="http://www.nevo.co.il/law/72813" TargetMode="External"/><Relationship Id="rId59" Type="http://schemas.openxmlformats.org/officeDocument/2006/relationships/hyperlink" Target="http://www.nevo.co.il/case/23240806" TargetMode="External"/><Relationship Id="rId60" Type="http://schemas.openxmlformats.org/officeDocument/2006/relationships/hyperlink" Target="http://www.nevo.co.il/case/5608124" TargetMode="External"/><Relationship Id="rId61" Type="http://schemas.openxmlformats.org/officeDocument/2006/relationships/hyperlink" Target="http://www.nevo.co.il/law/72813/117.b" TargetMode="External"/><Relationship Id="rId62" Type="http://schemas.openxmlformats.org/officeDocument/2006/relationships/hyperlink" Target="http://www.nevo.co.il/law/72813" TargetMode="External"/><Relationship Id="rId63" Type="http://schemas.openxmlformats.org/officeDocument/2006/relationships/hyperlink" Target="http://www.nevo.co.il/law/72813/117.a" TargetMode="External"/><Relationship Id="rId64" Type="http://schemas.openxmlformats.org/officeDocument/2006/relationships/hyperlink" Target="http://www.nevo.co.il/law/72813/117.b" TargetMode="External"/><Relationship Id="rId65" Type="http://schemas.openxmlformats.org/officeDocument/2006/relationships/hyperlink" Target="http://www.nevo.co.il/law/72813" TargetMode="External"/><Relationship Id="rId66" Type="http://schemas.openxmlformats.org/officeDocument/2006/relationships/hyperlink" Target="http://www.nevo.co.il/law/72813/117.a.3" TargetMode="External"/><Relationship Id="rId67" Type="http://schemas.openxmlformats.org/officeDocument/2006/relationships/hyperlink" Target="http://www.nevo.co.il/law/72813" TargetMode="External"/><Relationship Id="rId68" Type="http://schemas.openxmlformats.org/officeDocument/2006/relationships/hyperlink" Target="http://www.nevo.co.il/case/23267128" TargetMode="External"/><Relationship Id="rId69" Type="http://schemas.openxmlformats.org/officeDocument/2006/relationships/hyperlink" Target="http://www.nevo.co.il/case/5594221" TargetMode="External"/><Relationship Id="rId70" Type="http://schemas.openxmlformats.org/officeDocument/2006/relationships/hyperlink" Target="http://www.nevo.co.il/law/72813" TargetMode="External"/><Relationship Id="rId71" Type="http://schemas.openxmlformats.org/officeDocument/2006/relationships/hyperlink" Target="http://www.nevo.co.il/advertisements/nevo-100.doc" TargetMode="External"/><Relationship Id="rId72" Type="http://schemas.openxmlformats.org/officeDocument/2006/relationships/header" Target="header1.xml"/><Relationship Id="rId73" Type="http://schemas.openxmlformats.org/officeDocument/2006/relationships/footer" Target="footer1.xml"/><Relationship Id="rId74" Type="http://schemas.openxmlformats.org/officeDocument/2006/relationships/numbering" Target="numbering.xml"/><Relationship Id="rId75" Type="http://schemas.openxmlformats.org/officeDocument/2006/relationships/fontTable" Target="fontTable.xml"/><Relationship Id="rId76" Type="http://schemas.openxmlformats.org/officeDocument/2006/relationships/settings" Target="settings.xml"/><Relationship Id="rId7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2023-07-26T13:59:00Z</dcterms:created>
  <dc:creator> </dc:creator>
  <dc:description/>
  <cp:keywords/>
  <dc:language>en-IL</dc:language>
  <cp:lastModifiedBy>h1</cp:lastModifiedBy>
  <dcterms:modified xsi:type="dcterms:W3CDTF">2023-07-26T13:59:00Z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אבו רביעה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21534199;4104504;20266521;13055117;5592483;5559086;6131155;5568778;3746266;6058869;6181500;20356757;23240806;5608124;23267128;5594221</vt:lpwstr>
  </property>
  <property fmtid="{D5CDD505-2E9C-101B-9397-08002B2CF9AE}" pid="9" name="CITY">
    <vt:lpwstr>רמ'</vt:lpwstr>
  </property>
  <property fmtid="{D5CDD505-2E9C-101B-9397-08002B2CF9AE}" pid="10" name="DATE">
    <vt:lpwstr>20221027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72813/117.a.3:3;117.a:8;117.a.13;117.a.6:3;117.b:2</vt:lpwstr>
  </property>
  <property fmtid="{D5CDD505-2E9C-101B-9397-08002B2CF9AE}" pid="15" name="LAWLISTTMP2">
    <vt:lpwstr>71858</vt:lpwstr>
  </property>
  <property fmtid="{D5CDD505-2E9C-101B-9397-08002B2CF9AE}" pid="16" name="LAWLISTTMP3">
    <vt:lpwstr>70301/40ja;040d</vt:lpwstr>
  </property>
  <property fmtid="{D5CDD505-2E9C-101B-9397-08002B2CF9AE}" pid="17" name="LAWLISTTMP4">
    <vt:lpwstr>84255/216</vt:lpwstr>
  </property>
  <property fmtid="{D5CDD505-2E9C-101B-9397-08002B2CF9AE}" pid="18" name="LAWYER">
    <vt:lpwstr>תומר מזרחי;עדי ארליך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12681</vt:lpwstr>
  </property>
  <property fmtid="{D5CDD505-2E9C-101B-9397-08002B2CF9AE}" pid="25" name="NEWPARTB">
    <vt:lpwstr>12</vt:lpwstr>
  </property>
  <property fmtid="{D5CDD505-2E9C-101B-9397-08002B2CF9AE}" pid="26" name="NEWPARTC">
    <vt:lpwstr>17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380020221027</vt:lpwstr>
  </property>
  <property fmtid="{D5CDD505-2E9C-101B-9397-08002B2CF9AE}" pid="37" name="TYPE_N_DATE">
    <vt:lpwstr>38020221027</vt:lpwstr>
  </property>
  <property fmtid="{D5CDD505-2E9C-101B-9397-08002B2CF9AE}" pid="38" name="VOLUME">
    <vt:lpwstr/>
  </property>
  <property fmtid="{D5CDD505-2E9C-101B-9397-08002B2CF9AE}" pid="39" name="WORDNUMPAGES">
    <vt:lpwstr>11</vt:lpwstr>
  </property>
</Properties>
</file>