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12695-02-09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דענא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רות לורך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עיסא דענא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  <w:b/>
          <w:bCs/>
        </w:rPr>
      </w:pPr>
      <w:r>
        <w:rPr>
          <w:rStyle w:val="LineNumber"/>
          <w:rFonts w:ascii="Arial" w:hAnsi="Arial" w:cs="Arial"/>
          <w:b/>
          <w:b/>
          <w:bCs/>
          <w:rtl w:val="true"/>
        </w:rPr>
        <w:t>נוכחים</w:t>
      </w:r>
      <w:r>
        <w:rPr>
          <w:rStyle w:val="LineNumber"/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המאשימה ע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 xml:space="preserve">י </w:t>
      </w:r>
      <w:bookmarkStart w:id="3" w:name="FirstLawyer"/>
      <w:r>
        <w:rPr>
          <w:rStyle w:val="LineNumber"/>
          <w:rFonts w:ascii="Arial" w:hAnsi="Arial" w:cs="Arial"/>
          <w:rtl w:val="true"/>
        </w:rPr>
        <w:t>ב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כ</w:t>
      </w:r>
      <w:bookmarkEnd w:id="3"/>
      <w:r>
        <w:rPr>
          <w:rStyle w:val="LineNumber"/>
          <w:rFonts w:ascii="Arial" w:hAnsi="Arial" w:cs="Arial"/>
          <w:rtl w:val="true"/>
        </w:rPr>
        <w:t xml:space="preserve"> עו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ד אורלי שרגנהיים</w:t>
      </w:r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הנאשם ע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י ב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כ עו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ד עאטף פרחת</w:t>
      </w:r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Style w:val="LineNumber"/>
          <w:rFonts w:ascii="Arial" w:hAnsi="Arial" w:cs="Arial"/>
          <w:rtl w:val="true"/>
        </w:rPr>
        <w:t>הנאשם הובא על ידי שב</w:t>
      </w:r>
      <w:r>
        <w:rPr>
          <w:rStyle w:val="LineNumber"/>
          <w:rFonts w:cs="Arial" w:ascii="Arial" w:hAnsi="Arial"/>
          <w:rtl w:val="true"/>
        </w:rPr>
        <w:t>"</w:t>
      </w:r>
      <w:r>
        <w:rPr>
          <w:rStyle w:val="LineNumber"/>
          <w:rFonts w:ascii="Arial" w:hAnsi="Arial" w:cs="Arial"/>
          <w:rtl w:val="true"/>
        </w:rPr>
        <w:t>ס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Cs w:val="24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szCs w:val="24"/>
          <w:rtl w:val="true"/>
        </w:rPr>
        <w:t>חקיקה שאוזכרה</w:t>
      </w:r>
      <w:r>
        <w:rPr>
          <w:rStyle w:val="LineNumber"/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color w:val="0000FF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: </w:t>
      </w:r>
      <w:r>
        <w:rPr>
          <w:rStyle w:val="LineNumber"/>
          <w:rFonts w:ascii="FrankRuehl" w:hAnsi="FrankRuehl" w:cs="FrankRuehl"/>
          <w:color w:val="0000FF"/>
          <w:szCs w:val="24"/>
          <w:u w:val="single"/>
          <w:rtl w:val="true"/>
        </w:rPr>
        <w:t>סע</w:t>
      </w:r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404</w:t>
        </w:r>
      </w:hyperlink>
      <w:r>
        <w:rPr>
          <w:rStyle w:val="LineNumber"/>
          <w:rFonts w:cs="FrankRuehl" w:ascii="FrankRuehl" w:hAnsi="FrankRuehl"/>
          <w:color w:val="0000FF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color w:val="0000FF"/>
          <w:szCs w:val="24"/>
          <w:u w:val="single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12"/>
        <w:ind w:end="0"/>
        <w:jc w:val="start"/>
        <w:rPr>
          <w:rStyle w:val="LineNumber"/>
          <w:rFonts w:ascii="Arial" w:hAnsi="Arial" w:cs="Arial"/>
          <w:b w:val="false"/>
          <w:bCs w:val="false"/>
          <w:u w:val="none"/>
        </w:rPr>
      </w:pPr>
      <w:r>
        <w:rPr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David"/>
        <w:ind w:end="0"/>
        <w:jc w:val="center"/>
        <w:rPr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 הורשע על פי הודאתו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שוד בחבורה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והחזקת נשק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לפי עובדות כתב האישום המתוקן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בתמצית</w:t>
      </w:r>
      <w:r>
        <w:rPr>
          <w:rtl w:val="true"/>
        </w:rPr>
        <w:t xml:space="preserve">): </w:t>
      </w:r>
      <w:r>
        <w:rPr>
          <w:rtl w:val="true"/>
        </w:rPr>
        <w:t xml:space="preserve">בתאריך </w:t>
      </w:r>
      <w:r>
        <w:rPr/>
        <w:t>20/12/08</w:t>
      </w:r>
      <w:r>
        <w:rPr>
          <w:rtl w:val="true"/>
        </w:rPr>
        <w:t xml:space="preserve"> </w:t>
      </w:r>
      <w:r>
        <w:rPr>
          <w:rtl w:val="true"/>
        </w:rPr>
        <w:t>בחצות הלילה</w:t>
      </w:r>
      <w:r>
        <w:rPr>
          <w:rtl w:val="true"/>
        </w:rPr>
        <w:t xml:space="preserve">, </w:t>
      </w:r>
      <w:r>
        <w:rPr>
          <w:rtl w:val="true"/>
        </w:rPr>
        <w:t>שהה המתלונן ברכבו כשהוא שתוי</w:t>
      </w:r>
      <w:r>
        <w:rPr>
          <w:rtl w:val="true"/>
        </w:rPr>
        <w:t xml:space="preserve">. </w:t>
      </w:r>
      <w:r>
        <w:rPr>
          <w:rtl w:val="true"/>
        </w:rPr>
        <w:t xml:space="preserve">באותה עת ישבו שניים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הנאשמים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ואיתם קטינה</w:t>
      </w:r>
      <w:r>
        <w:rPr>
          <w:rtl w:val="true"/>
        </w:rPr>
        <w:t xml:space="preserve">, </w:t>
      </w:r>
      <w:r>
        <w:rPr>
          <w:rtl w:val="true"/>
        </w:rPr>
        <w:t>בגן ציבורי בסמוך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סיפר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על מצבו של המתלונן והאחרון התקשר לנאשם וביקש ממנו להגיע לגן</w:t>
      </w:r>
      <w:r>
        <w:rPr>
          <w:rtl w:val="true"/>
        </w:rPr>
        <w:t xml:space="preserve">. </w:t>
      </w:r>
      <w:r>
        <w:rPr>
          <w:rtl w:val="true"/>
        </w:rPr>
        <w:t>לאחר הגעת הנאשם</w:t>
      </w:r>
      <w:r>
        <w:rPr>
          <w:rtl w:val="true"/>
        </w:rPr>
        <w:t xml:space="preserve">, </w:t>
      </w:r>
      <w:r>
        <w:rPr>
          <w:rtl w:val="true"/>
        </w:rPr>
        <w:t>קשרו השלושה קשר לשדוד את 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הקשר</w:t>
      </w:r>
      <w:r>
        <w:rPr>
          <w:rtl w:val="true"/>
        </w:rPr>
        <w:t xml:space="preserve">, </w:t>
      </w:r>
      <w:r>
        <w:rPr>
          <w:rtl w:val="true"/>
        </w:rPr>
        <w:t>ניגשו השלושה אל רכב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הוציאו אותו בכוח מתוך הרכב והיכו אותו נמרצות בכל חלקי גופו בידיהם ורגליהם</w:t>
      </w:r>
      <w:r>
        <w:rPr>
          <w:rtl w:val="true"/>
        </w:rPr>
        <w:t xml:space="preserve">. </w:t>
      </w:r>
      <w:r>
        <w:rPr>
          <w:rtl w:val="true"/>
        </w:rPr>
        <w:t>הנאשם נותר לעמוד במרחק של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מטר מרכב המתלונן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המשיכו להכות את המתלונן בראשו</w:t>
      </w:r>
      <w:r>
        <w:rPr>
          <w:rtl w:val="true"/>
        </w:rPr>
        <w:t xml:space="preserve">, </w:t>
      </w:r>
      <w:r>
        <w:rPr>
          <w:rtl w:val="true"/>
        </w:rPr>
        <w:t>גם לאחר שנפל על הרצפה</w:t>
      </w:r>
      <w:r>
        <w:rPr>
          <w:rtl w:val="true"/>
        </w:rPr>
        <w:t xml:space="preserve">, </w:t>
      </w:r>
      <w:r>
        <w:rPr>
          <w:rtl w:val="true"/>
        </w:rPr>
        <w:t>עד שאיבד את הכרתו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ביצעו חיפוש על גופו של המתלונן וברכבו ושדדו ממנו אקדח הטעון במחסנית עם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מכשיר טלפון נייד</w:t>
      </w:r>
      <w:r>
        <w:rPr>
          <w:rtl w:val="true"/>
        </w:rPr>
        <w:t xml:space="preserve">, </w:t>
      </w:r>
      <w:r>
        <w:rPr>
          <w:rtl w:val="true"/>
        </w:rPr>
        <w:t>תיק וצמיד שענד  על ידו</w:t>
      </w:r>
      <w:r>
        <w:rPr>
          <w:rtl w:val="true"/>
        </w:rPr>
        <w:t xml:space="preserve">. </w:t>
      </w:r>
      <w:r>
        <w:rPr>
          <w:rtl w:val="true"/>
        </w:rPr>
        <w:t>לאחר השוד</w:t>
      </w:r>
      <w:r>
        <w:rPr>
          <w:rtl w:val="true"/>
        </w:rPr>
        <w:t xml:space="preserve">, </w:t>
      </w:r>
      <w:r>
        <w:rPr>
          <w:rtl w:val="true"/>
        </w:rPr>
        <w:t>נמלטו השלושה ברכבו של הנאשם כשהם מחזיקים ברכוש שנשדד</w:t>
      </w:r>
      <w:r>
        <w:rPr>
          <w:rtl w:val="true"/>
        </w:rPr>
        <w:t xml:space="preserve">. </w:t>
      </w:r>
      <w:r>
        <w:rPr>
          <w:rtl w:val="true"/>
        </w:rPr>
        <w:t>בהמשך התחלקו בשלל באופן שאינו ידוע במדוייק למאשימה</w:t>
      </w:r>
      <w:r>
        <w:rPr>
          <w:rtl w:val="true"/>
        </w:rPr>
        <w:t xml:space="preserve">. </w:t>
      </w:r>
      <w:r>
        <w:rPr>
          <w:rtl w:val="true"/>
        </w:rPr>
        <w:t>למתלונן נגרם זעזוע מוח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במסגרת הסדר טיעון</w:t>
      </w:r>
      <w:r>
        <w:rPr>
          <w:rtl w:val="true"/>
        </w:rPr>
        <w:t xml:space="preserve"> אליו הגיעו הצדדים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 xml:space="preserve">כי התביעה תעתור לגזור על הנאשם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מאסר בפועל בניכוי ימי מעצרו בתיק זה</w:t>
      </w:r>
      <w:r>
        <w:rPr>
          <w:rtl w:val="true"/>
        </w:rPr>
        <w:t xml:space="preserve">, </w:t>
      </w:r>
      <w:r>
        <w:rPr>
          <w:rtl w:val="true"/>
        </w:rPr>
        <w:t>אשר ירוצו במצטבר לתקופת מאסר בפועל שמרצה עתה הנאשם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ופיצוי המתלונן בסך </w:t>
      </w:r>
      <w:r>
        <w:rPr/>
        <w:t>1,500</w:t>
      </w:r>
      <w:r>
        <w:rPr>
          <w:rtl w:val="true"/>
        </w:rPr>
        <w:t xml:space="preserve"> ₪. </w:t>
      </w:r>
      <w:r>
        <w:rPr>
          <w:rtl w:val="true"/>
        </w:rPr>
        <w:t>ההגנה רשאית לטעון לעונש כראות עיניה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>נדון בגין הרשעתו באותן עבירות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ופיצוי המתלונן בסך </w:t>
      </w:r>
      <w:r>
        <w:rPr/>
        <w:t>1,500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הנאשם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נדון בגין אותן עבירות וכן בגין הרשעה בעבירה נוספת שעניינה דרישת נכס באיומים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404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פיצוי המתלונן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ופיצוי המתלונן באישום הנוסף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1,000</w:t>
      </w:r>
      <w:r>
        <w:rPr>
          <w:rtl w:val="true"/>
        </w:rPr>
        <w:t xml:space="preserve"> ₪ - </w:t>
      </w:r>
      <w:r>
        <w:rPr>
          <w:rtl w:val="true"/>
        </w:rPr>
        <w:t>תוך אימוץ הסדר טיעון אליו הגיעו 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 שירות המבחן מציין</w:t>
      </w:r>
      <w:r>
        <w:rPr>
          <w:rtl w:val="true"/>
        </w:rPr>
        <w:t xml:space="preserve">: </w:t>
      </w:r>
      <w:r>
        <w:rPr>
          <w:rtl w:val="true"/>
        </w:rPr>
        <w:t xml:space="preserve">הנאשם כבן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חולה אפילפסיה מילדות</w:t>
      </w:r>
      <w:r>
        <w:rPr>
          <w:rtl w:val="true"/>
        </w:rPr>
        <w:t xml:space="preserve">, </w:t>
      </w:r>
      <w:r>
        <w:rPr>
          <w:rtl w:val="true"/>
        </w:rPr>
        <w:t>אביו חולה אף הוא במחלה זו</w:t>
      </w:r>
      <w:r>
        <w:rPr>
          <w:rtl w:val="true"/>
        </w:rPr>
        <w:t xml:space="preserve">; </w:t>
      </w:r>
      <w:r>
        <w:rPr>
          <w:rtl w:val="true"/>
        </w:rPr>
        <w:t>בעקבות מצבו הבריאותי המורכב ואשפוזים רבים</w:t>
      </w:r>
      <w:r>
        <w:rPr>
          <w:rtl w:val="true"/>
        </w:rPr>
        <w:t xml:space="preserve">, </w:t>
      </w:r>
      <w:r>
        <w:rPr>
          <w:rtl w:val="true"/>
        </w:rPr>
        <w:t xml:space="preserve">לא הצליח להשתלב באופן סדיר במסגרת לימודית לכן סיים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לימוד בלבד</w:t>
      </w:r>
      <w:r>
        <w:rPr>
          <w:rtl w:val="true"/>
        </w:rPr>
        <w:t xml:space="preserve">; </w:t>
      </w:r>
      <w:r>
        <w:rPr>
          <w:rtl w:val="true"/>
        </w:rPr>
        <w:t xml:space="preserve">בחודש מאי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נידון בביהמ</w:t>
      </w:r>
      <w:r>
        <w:rPr>
          <w:rtl w:val="true"/>
        </w:rPr>
        <w:t>"</w:t>
      </w:r>
      <w:r>
        <w:rPr>
          <w:rtl w:val="true"/>
        </w:rPr>
        <w:t>ש המחוזי בת</w:t>
      </w:r>
      <w:r>
        <w:rPr>
          <w:rtl w:val="true"/>
        </w:rPr>
        <w:t>"</w:t>
      </w:r>
      <w:r>
        <w:rPr>
          <w:rtl w:val="true"/>
        </w:rPr>
        <w:t>א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בפועל בגין עבירות הנושאות אופי דומה לתיק זה</w:t>
      </w:r>
      <w:r>
        <w:rPr>
          <w:rtl w:val="true"/>
        </w:rPr>
        <w:t xml:space="preserve">, </w:t>
      </w:r>
      <w:r>
        <w:rPr>
          <w:rtl w:val="true"/>
        </w:rPr>
        <w:t>כשהשירות נמנע מלבוא בהמלצה בעניינו במסגרת ערעור בביהמ</w:t>
      </w:r>
      <w:r>
        <w:rPr>
          <w:rtl w:val="true"/>
        </w:rPr>
        <w:t>"</w:t>
      </w:r>
      <w:r>
        <w:rPr>
          <w:rtl w:val="true"/>
        </w:rPr>
        <w:t>ש העליון</w:t>
      </w:r>
      <w:r>
        <w:rPr>
          <w:rtl w:val="true"/>
        </w:rPr>
        <w:t xml:space="preserve">, </w:t>
      </w:r>
      <w:r>
        <w:rPr>
          <w:rtl w:val="true"/>
        </w:rPr>
        <w:t>שדחה את בקשתו לקיצור תקופת המאסר</w:t>
      </w:r>
      <w:r>
        <w:rPr>
          <w:rtl w:val="true"/>
        </w:rPr>
        <w:t xml:space="preserve">; </w:t>
      </w:r>
      <w:r>
        <w:rPr>
          <w:rtl w:val="true"/>
        </w:rPr>
        <w:t>הנאשם התקשה לקחת אחריות על ביצוע העבירות</w:t>
      </w:r>
      <w:r>
        <w:rPr>
          <w:rtl w:val="true"/>
        </w:rPr>
        <w:t xml:space="preserve">, </w:t>
      </w:r>
      <w:r>
        <w:rPr>
          <w:rtl w:val="true"/>
        </w:rPr>
        <w:t>מתקשה בוויסות דחפים תוקפניים ובבדיקת התנהגותו והנזק אותו מסב לסביבה</w:t>
      </w:r>
      <w:r>
        <w:rPr>
          <w:rtl w:val="true"/>
        </w:rPr>
        <w:t xml:space="preserve">. </w:t>
      </w:r>
      <w:r>
        <w:rPr>
          <w:rtl w:val="true"/>
        </w:rPr>
        <w:t>הנאשם לא מגלה מוטיבציה לערוך שינוי ממשי בדפוסי התנהגותו</w:t>
      </w:r>
      <w:r>
        <w:rPr>
          <w:rtl w:val="true"/>
        </w:rPr>
        <w:t xml:space="preserve">. </w:t>
      </w:r>
      <w:r>
        <w:rPr>
          <w:rtl w:val="true"/>
        </w:rPr>
        <w:t>שירות המבחן נמנע מהמלצה 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שניידרמן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עותר לאמץ את עתירת התביעה לעונש במסגרת הסדר הטיעון</w:t>
      </w:r>
      <w:r>
        <w:rPr>
          <w:rtl w:val="true"/>
        </w:rPr>
        <w:t xml:space="preserve">, </w:t>
      </w:r>
      <w:r>
        <w:rPr>
          <w:rtl w:val="true"/>
        </w:rPr>
        <w:t>תוך שהוא מציין כי יש לערוך אבחנה לחומרא בין נסיבותיו של הנאשם לבין הנאשמים האחרים</w:t>
      </w:r>
      <w:r>
        <w:rPr>
          <w:rtl w:val="true"/>
        </w:rPr>
        <w:t xml:space="preserve">. </w:t>
      </w:r>
      <w:r>
        <w:rPr>
          <w:rtl w:val="true"/>
        </w:rPr>
        <w:t>אבחנה הנובעת מהיותו מבוגר יותר</w:t>
      </w:r>
      <w:r>
        <w:rPr>
          <w:rtl w:val="true"/>
        </w:rPr>
        <w:t xml:space="preserve">, </w:t>
      </w:r>
      <w:r>
        <w:rPr>
          <w:rtl w:val="true"/>
        </w:rPr>
        <w:t>בעל שתי הרשעות קודמות</w:t>
      </w:r>
      <w:r>
        <w:rPr>
          <w:rtl w:val="true"/>
        </w:rPr>
        <w:t xml:space="preserve">, </w:t>
      </w:r>
      <w:r>
        <w:rPr>
          <w:rtl w:val="true"/>
        </w:rPr>
        <w:t>לרבות ריצוי עונש מאסר בפועל בגין עבירות בעלות אופי דומה ותוך הפניה לחומרת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פרחאת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עותר להסתפק בתקופת מעצרו של הנאשם בתיק זה שתרוצה במצטבר למאסרו הנוכחי</w:t>
      </w:r>
      <w:r>
        <w:rPr>
          <w:rtl w:val="true"/>
        </w:rPr>
        <w:t xml:space="preserve">, </w:t>
      </w:r>
      <w:r>
        <w:rPr>
          <w:rtl w:val="true"/>
        </w:rPr>
        <w:t>הטלת מאסר על תנאי ולהימנע מחיובו בפיצוי המתלונן נוכח העובדה שמרצה מאסר בפועל או לחילופין להפחית את סכום הפיצוי</w:t>
      </w:r>
      <w:r>
        <w:rPr>
          <w:rtl w:val="true"/>
        </w:rPr>
        <w:t xml:space="preserve">. </w:t>
      </w:r>
      <w:r>
        <w:rPr>
          <w:rtl w:val="true"/>
        </w:rPr>
        <w:t>מפנה להודאת הנאשם</w:t>
      </w:r>
      <w:r>
        <w:rPr>
          <w:rtl w:val="true"/>
        </w:rPr>
        <w:t xml:space="preserve">; </w:t>
      </w:r>
      <w:r>
        <w:rPr>
          <w:rtl w:val="true"/>
        </w:rPr>
        <w:t>תיקון כתב האישום המקורי לקולא לפיו חלקו קטן יותר בהפעלת האלימות מזה של שותפיו לכתב האישום</w:t>
      </w:r>
      <w:r>
        <w:rPr>
          <w:rtl w:val="true"/>
        </w:rPr>
        <w:t xml:space="preserve">; </w:t>
      </w:r>
      <w:r>
        <w:rPr>
          <w:rtl w:val="true"/>
        </w:rPr>
        <w:t>תיק זה לא צורף לתיק בגינו הוא מרצה מאסר בפועל בשל אי הסכמת המאשימה לתיקון כתב האישום המקורי כפי שתוקן בפועל</w:t>
      </w:r>
      <w:r>
        <w:rPr>
          <w:rtl w:val="true"/>
        </w:rPr>
        <w:t xml:space="preserve">; </w:t>
      </w:r>
      <w:r>
        <w:rPr>
          <w:rtl w:val="true"/>
        </w:rPr>
        <w:t>מצבו הבריאותי הקשה של הנאשם המשליך על הקושי והסבל בשהייתו בכלא</w:t>
      </w:r>
      <w:r>
        <w:rPr>
          <w:rtl w:val="true"/>
        </w:rPr>
        <w:t xml:space="preserve">, </w:t>
      </w:r>
      <w:r>
        <w:rPr>
          <w:rtl w:val="true"/>
        </w:rPr>
        <w:t>על אופיו והתנהלותו במשך השנים כמי שבשל מחלה נעדר רבות מבית הספר ולמצבו המשפחתי כאשר לא זכה לתמיכה וחינוך ראויים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הביע צער על התנהגותו</w:t>
      </w:r>
      <w:r>
        <w:rPr>
          <w:rtl w:val="true"/>
        </w:rPr>
        <w:t xml:space="preserve">, </w:t>
      </w:r>
      <w:r>
        <w:rPr>
          <w:rtl w:val="true"/>
        </w:rPr>
        <w:t>ביקש את התחשבות בית המשפט בו וציין כי מצבו הבריאותי הדרדר לאחר שמעבר למחלת האפילפסיה ממנה סובל</w:t>
      </w:r>
      <w:r>
        <w:rPr>
          <w:rtl w:val="true"/>
        </w:rPr>
        <w:t xml:space="preserve">, </w:t>
      </w:r>
      <w:r>
        <w:rPr>
          <w:rtl w:val="true"/>
        </w:rPr>
        <w:t>התגלו בעיות בריאותיות בלבו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לחומרא שקלתי לנאשם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העבירות ונסיבות ביצוען חמורות</w:t>
      </w:r>
      <w:r>
        <w:rPr>
          <w:rtl w:val="true"/>
        </w:rPr>
        <w:t xml:space="preserve">. </w:t>
      </w:r>
      <w:r>
        <w:rPr>
          <w:rtl w:val="true"/>
        </w:rPr>
        <w:t>מדובר בעבירת רכוש פרי קשירת קשר בין שלושה ותוך ניצול מצבו של המתלונן</w:t>
      </w:r>
      <w:r>
        <w:rPr>
          <w:rtl w:val="true"/>
        </w:rPr>
        <w:t xml:space="preserve">, </w:t>
      </w:r>
      <w:r>
        <w:rPr>
          <w:rtl w:val="true"/>
        </w:rPr>
        <w:t>השרוי בגילופין בתוך רכבו</w:t>
      </w:r>
      <w:r>
        <w:rPr>
          <w:rtl w:val="true"/>
        </w:rPr>
        <w:t xml:space="preserve">. </w:t>
      </w:r>
      <w:r>
        <w:rPr>
          <w:rtl w:val="true"/>
        </w:rPr>
        <w:t>העבירות בוצעו תוך שימוש באלימות ע</w:t>
      </w:r>
      <w:r>
        <w:rPr>
          <w:rtl w:val="true"/>
        </w:rPr>
        <w:t>"</w:t>
      </w:r>
      <w:r>
        <w:rPr>
          <w:rtl w:val="true"/>
        </w:rPr>
        <w:t>י שני הנאשמים האחרים</w:t>
      </w:r>
      <w:r>
        <w:rPr>
          <w:rtl w:val="true"/>
        </w:rPr>
        <w:t xml:space="preserve">, </w:t>
      </w:r>
      <w:r>
        <w:rPr>
          <w:rtl w:val="true"/>
        </w:rPr>
        <w:t>המכים את המתלונן מכות נמרצות בכל חלקי גופו</w:t>
      </w:r>
      <w:r>
        <w:rPr>
          <w:rtl w:val="true"/>
        </w:rPr>
        <w:t xml:space="preserve">, </w:t>
      </w:r>
      <w:r>
        <w:rPr>
          <w:rtl w:val="true"/>
        </w:rPr>
        <w:t>גם לאחר שנפל ארצה עד אשר איבד את הכרתו</w:t>
      </w:r>
      <w:r>
        <w:rPr>
          <w:rtl w:val="true"/>
        </w:rPr>
        <w:t xml:space="preserve">. </w:t>
      </w:r>
      <w:r>
        <w:rPr>
          <w:rtl w:val="true"/>
        </w:rPr>
        <w:t>בכל אותה עת עומד הנאשם במרחק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מרכב המתלונן</w:t>
      </w:r>
      <w:r>
        <w:rPr>
          <w:rtl w:val="true"/>
        </w:rPr>
        <w:t xml:space="preserve">. </w:t>
      </w:r>
      <w:r>
        <w:rPr>
          <w:rtl w:val="true"/>
        </w:rPr>
        <w:t>הנאשם ושותפיו נמלטים מהמקום ברכבו של הנאשם</w:t>
      </w:r>
      <w:r>
        <w:rPr>
          <w:rtl w:val="true"/>
        </w:rPr>
        <w:t xml:space="preserve">, </w:t>
      </w:r>
      <w:r>
        <w:rPr>
          <w:rtl w:val="true"/>
        </w:rPr>
        <w:t>מבלי להושיט כל עזרה 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גניבת האקדח הטעון במחסנית ובה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אשר לא נמצא</w:t>
      </w:r>
      <w:r>
        <w:rPr>
          <w:rtl w:val="true"/>
        </w:rPr>
        <w:t xml:space="preserve">, </w:t>
      </w:r>
      <w:r>
        <w:rPr>
          <w:rtl w:val="true"/>
        </w:rPr>
        <w:t>הינה עבירה חמורה בה גלום סיכון רב לציבור</w:t>
      </w:r>
      <w:r>
        <w:rPr>
          <w:rtl w:val="true"/>
        </w:rPr>
        <w:t xml:space="preserve">, </w:t>
      </w:r>
      <w:r>
        <w:rPr>
          <w:rtl w:val="true"/>
        </w:rPr>
        <w:t>נוכח החשש שיעשה בו שימוש עויין או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עבירות האלימות והשוד הפכו למרבה הצער לתופעה נפוצה</w:t>
      </w:r>
      <w:r>
        <w:rPr>
          <w:rtl w:val="true"/>
        </w:rPr>
        <w:t xml:space="preserve">, </w:t>
      </w:r>
      <w:r>
        <w:rPr>
          <w:rtl w:val="true"/>
        </w:rPr>
        <w:t>ובעיקר בקרב  צעירים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על מנת לתת יד למיגור התופעה</w:t>
      </w:r>
      <w:r>
        <w:rPr>
          <w:rtl w:val="true"/>
        </w:rPr>
        <w:t xml:space="preserve">, </w:t>
      </w:r>
      <w:r>
        <w:rPr>
          <w:rtl w:val="true"/>
        </w:rPr>
        <w:t>יש ליתן משקל רב לשיקולי ההרתעה והגמול ולהחמיר בענישתם של עבריינים 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למרות גילו הצעיר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8/88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בשתי הזדמנויות קודמות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31/5/09</w:t>
      </w:r>
      <w:r>
        <w:rPr>
          <w:rtl w:val="true"/>
        </w:rPr>
        <w:t xml:space="preserve"> </w:t>
      </w:r>
      <w:r>
        <w:rPr>
          <w:rtl w:val="true"/>
        </w:rPr>
        <w:t>נדון בביהמ</w:t>
      </w:r>
      <w:r>
        <w:rPr>
          <w:rtl w:val="true"/>
        </w:rPr>
        <w:t>"</w:t>
      </w:r>
      <w:r>
        <w:rPr>
          <w:rtl w:val="true"/>
        </w:rPr>
        <w:t>ש המחוזי בת</w:t>
      </w:r>
      <w:r>
        <w:rPr>
          <w:rtl w:val="true"/>
        </w:rPr>
        <w:t>"</w:t>
      </w:r>
      <w:r>
        <w:rPr>
          <w:rtl w:val="true"/>
        </w:rPr>
        <w:t>א בגין עבירות של פריצה לרכב בכוונה לבצע שוד ושוד בנסיבות מחמירות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מדובר בעבירת שוד שבוצעה אף היא בצוותא עם 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נדון הנאשם לחודש מאסר בפועל</w:t>
      </w:r>
      <w:r>
        <w:rPr>
          <w:rtl w:val="true"/>
        </w:rPr>
        <w:t xml:space="preserve">, </w:t>
      </w:r>
      <w:r>
        <w:rPr>
          <w:rtl w:val="true"/>
        </w:rPr>
        <w:t>לריצוי בחופף למאסרו הנוכחי</w:t>
      </w:r>
      <w:r>
        <w:rPr>
          <w:rtl w:val="true"/>
        </w:rPr>
        <w:t xml:space="preserve">, </w:t>
      </w:r>
      <w:r>
        <w:rPr>
          <w:rtl w:val="true"/>
        </w:rPr>
        <w:t>בגין עבירה של החזקת נכס חשוד כגנוב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מעיון בגזר הדין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עולה כי הנאשם ביצע את העבירות דנן</w:t>
      </w:r>
      <w:r>
        <w:rPr>
          <w:rtl w:val="true"/>
        </w:rPr>
        <w:t xml:space="preserve">, </w:t>
      </w:r>
      <w:r>
        <w:rPr>
          <w:rtl w:val="true"/>
        </w:rPr>
        <w:t>בעיצומו של ההליך המתנהל נגדו</w:t>
      </w:r>
      <w:r>
        <w:rPr>
          <w:rtl w:val="true"/>
        </w:rPr>
        <w:t xml:space="preserve">, </w:t>
      </w:r>
      <w:r>
        <w:rPr>
          <w:rtl w:val="true"/>
        </w:rPr>
        <w:t>בעודו ממתין לקבלת תסקיר של שירות המבחן</w:t>
      </w:r>
      <w:r>
        <w:rPr>
          <w:rtl w:val="true"/>
        </w:rPr>
        <w:t xml:space="preserve">. </w:t>
      </w:r>
      <w:r>
        <w:rPr>
          <w:rtl w:val="true"/>
        </w:rPr>
        <w:t>ללמדך כי אינו ירא מההליך המשפטי ומבצע עבירות בעלות אופי דומה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תסקיר שירות המבחן אינו בא בהמלצה ומהאמור בו עולה כי הנאשם מצוי במסלול של הידרדרות כשמתקשה לשלוט בדחפיו התוקפניים ובבדיקת התנהגותו ותוצאותיה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  <w:r>
        <w:br w:type="page"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לקולא שקלתי לנאשם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 הודה בטרם שמיעת העדים והביע</w:t>
      </w:r>
      <w:r>
        <w:rPr>
          <w:rtl w:val="true"/>
        </w:rPr>
        <w:t xml:space="preserve">, </w:t>
      </w:r>
      <w:r>
        <w:rPr>
          <w:rtl w:val="true"/>
        </w:rPr>
        <w:t>למצער בבית המשפט</w:t>
      </w:r>
      <w:r>
        <w:rPr>
          <w:rtl w:val="true"/>
        </w:rPr>
        <w:t xml:space="preserve">, </w:t>
      </w:r>
      <w:r>
        <w:rPr>
          <w:rtl w:val="true"/>
        </w:rPr>
        <w:t>חרטה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כתב האישום המקורי תוקן לקולא באופן שהנאשם לא נוטל חלק פעיל בתקיפת המתלונן וביצוע השוד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ובעיקר מצבו הבריאותי</w:t>
      </w:r>
      <w:r>
        <w:rPr>
          <w:rtl w:val="true"/>
        </w:rPr>
        <w:t xml:space="preserve">, </w:t>
      </w:r>
      <w:r>
        <w:rPr>
          <w:rtl w:val="true"/>
        </w:rPr>
        <w:t>אינם קלים</w:t>
      </w:r>
      <w:r>
        <w:rPr>
          <w:rtl w:val="true"/>
        </w:rPr>
        <w:t xml:space="preserve">. </w:t>
      </w:r>
      <w:r>
        <w:rPr>
          <w:rtl w:val="true"/>
        </w:rPr>
        <w:t>מצבו הבריאותי משליך על הקושי שלו לשהות בתנאי מאסר</w:t>
      </w:r>
      <w:r>
        <w:rPr>
          <w:rtl w:val="true"/>
        </w:rPr>
        <w:t xml:space="preserve">, </w:t>
      </w:r>
      <w:r>
        <w:rPr>
          <w:rtl w:val="true"/>
        </w:rPr>
        <w:t xml:space="preserve">כאשר מהתיעוד הרפואי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עולה כי בתקופת מאסרו הנוכחי חלה הידרדרות במצבו</w:t>
      </w:r>
      <w:r>
        <w:rPr>
          <w:rtl w:val="true"/>
        </w:rPr>
        <w:t xml:space="preserve">, </w:t>
      </w:r>
      <w:r>
        <w:rPr>
          <w:rtl w:val="true"/>
        </w:rPr>
        <w:t>הוא נזקק לאשפוזים בבית חולים</w:t>
      </w:r>
      <w:r>
        <w:rPr>
          <w:rtl w:val="true"/>
        </w:rPr>
        <w:t xml:space="preserve">, </w:t>
      </w:r>
      <w:r>
        <w:rPr>
          <w:rtl w:val="true"/>
        </w:rPr>
        <w:t>ומרצה את מאסרו במר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מצבו הרפואי לא יכול לשמש מגן לנאשם מפני ענישה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מבלי לגרוע מהאמור ביחס להרשעותיו הקודמות</w:t>
      </w:r>
      <w:r>
        <w:rPr>
          <w:rtl w:val="true"/>
        </w:rPr>
        <w:t xml:space="preserve">, </w:t>
      </w:r>
      <w:r>
        <w:rPr>
          <w:rtl w:val="true"/>
        </w:rPr>
        <w:t>מדובר בעבירות שבוצעו ב</w:t>
      </w:r>
      <w:r>
        <w:rPr>
          <w:rtl w:val="true"/>
        </w:rPr>
        <w:t>-</w:t>
      </w:r>
      <w:r>
        <w:rPr/>
        <w:t>12/06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5/07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 פי דברי הסניגור</w:t>
      </w:r>
      <w:r>
        <w:rPr>
          <w:rtl w:val="true"/>
        </w:rPr>
        <w:t xml:space="preserve">, </w:t>
      </w:r>
      <w:r>
        <w:rPr>
          <w:rtl w:val="true"/>
        </w:rPr>
        <w:t>הנאשם לא צירף תיק זה נוכח סירוב המאשימה לתקן את כתב אישום המקורי כפי שבסופו של יום  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לפי עיקרון אחידות הענישה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ככלל</w:t>
      </w:r>
      <w:r>
        <w:rPr>
          <w:rtl w:val="true"/>
        </w:rPr>
        <w:t xml:space="preserve">, </w:t>
      </w:r>
      <w:r>
        <w:rPr>
          <w:rtl w:val="true"/>
        </w:rPr>
        <w:t>מן הראוי הוא כי מי שהורשעו בגין עבירות ונסיבות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יענשו בעונשים דומים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 xml:space="preserve">י </w:t>
      </w:r>
      <w:hyperlink r:id="rId12">
        <w:r>
          <w:rPr>
            <w:rStyle w:val="Hyperlink"/>
            <w:color w:val="0000FF"/>
            <w:u w:val="single"/>
          </w:rPr>
          <w:t>301/82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לז</w:t>
      </w:r>
      <w:r>
        <w:rPr/>
        <w:t>01</w:t>
      </w:r>
      <w:r>
        <w:rPr>
          <w:rtl w:val="true"/>
        </w:rPr>
        <w:t xml:space="preserve">) </w:t>
      </w:r>
      <w:r>
        <w:rPr/>
        <w:t>204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כלל זה אינו כלל טכני המחייב גזירה שווה </w:t>
      </w:r>
      <w:r>
        <w:rPr>
          <w:rtl w:val="true"/>
        </w:rPr>
        <w:t>"</w:t>
      </w:r>
      <w:r>
        <w:rPr>
          <w:rtl w:val="true"/>
        </w:rPr>
        <w:t>אוטומטית</w:t>
      </w:r>
      <w:r>
        <w:rPr>
          <w:rtl w:val="true"/>
        </w:rPr>
        <w:t xml:space="preserve">" </w:t>
      </w:r>
      <w:r>
        <w:rPr>
          <w:rtl w:val="true"/>
        </w:rPr>
        <w:t>בין העונשים שהוטלו על המעורבים בפרשה</w:t>
      </w:r>
      <w:r>
        <w:rPr>
          <w:rtl w:val="true"/>
        </w:rPr>
        <w:t xml:space="preserve">. </w:t>
      </w:r>
      <w:r>
        <w:rPr>
          <w:rtl w:val="true"/>
        </w:rPr>
        <w:t xml:space="preserve">יש לבחון את נסיבותיו האישיות של כל אחד מהמעורבים ובהתאם לכך לגזור את העונש ההולם את חומרת מעשיו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5268/03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אהרונוביץ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 xml:space="preserve">, </w:t>
      </w:r>
      <w:r>
        <w:rPr/>
        <w:t>8.1.2004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יש לאבחן את עניינו ונסיבותיו של הנאשם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 לעומת שותפיו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לאור עברו הפלילי הרלבנטי בשעה שלנאשם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 xml:space="preserve">אין כל הסתבכות קודמת בפלילים ואילו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רישום ללא הרשעה בעבירה של החזקת סכין</w:t>
      </w:r>
      <w:r>
        <w:rPr>
          <w:rtl w:val="true"/>
        </w:rPr>
        <w:t xml:space="preserve">. </w:t>
      </w:r>
      <w:r>
        <w:rPr>
          <w:rtl w:val="true"/>
        </w:rPr>
        <w:t xml:space="preserve">עבור 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זהו מעצר ומאסר ראשון מאחורי סורג ובריח</w:t>
      </w:r>
      <w:r>
        <w:rPr>
          <w:rtl w:val="true"/>
        </w:rPr>
        <w:t xml:space="preserve">, </w:t>
      </w:r>
      <w:r>
        <w:rPr>
          <w:rtl w:val="true"/>
        </w:rPr>
        <w:t>בשונה מהנאשם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 מבוגר משותפיו</w:t>
      </w:r>
      <w:r>
        <w:rPr>
          <w:rtl w:val="true"/>
        </w:rPr>
        <w:t xml:space="preserve">, </w:t>
      </w:r>
      <w:r>
        <w:rPr>
          <w:rtl w:val="true"/>
        </w:rPr>
        <w:t xml:space="preserve">כשהנאשם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ביצע את העבירות בהיותו כבן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 שנים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בהיותו 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וחצי שנים</w:t>
      </w:r>
      <w:r>
        <w:rPr>
          <w:rtl w:val="true"/>
        </w:rPr>
        <w:t xml:space="preserve">, </w:t>
      </w:r>
      <w:r>
        <w:rPr>
          <w:rtl w:val="true"/>
        </w:rPr>
        <w:t xml:space="preserve">ואילו הנאשם מבוגר בכשנה מהנאשם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יש לאבחן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 את חלקו הפיסי של הנאשם בביצוע העבירות לעומת חלקם של 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הם תקפו בפועל את המתלונן ושדדו ממנו את רכושו</w:t>
      </w:r>
      <w:r>
        <w:rPr>
          <w:rtl w:val="true"/>
        </w:rPr>
        <w:t xml:space="preserve">, </w:t>
      </w:r>
      <w:r>
        <w:rPr>
          <w:rtl w:val="true"/>
        </w:rPr>
        <w:t>לרבות האקדח</w:t>
      </w:r>
      <w:r>
        <w:rPr>
          <w:rtl w:val="true"/>
        </w:rPr>
        <w:t xml:space="preserve">. </w:t>
      </w:r>
      <w:r>
        <w:rPr>
          <w:rtl w:val="true"/>
        </w:rPr>
        <w:t>הנאשם שותף למעשים מכוח הקשר שנקשר ביניהם</w:t>
      </w:r>
      <w:r>
        <w:rPr>
          <w:rtl w:val="true"/>
        </w:rPr>
        <w:t xml:space="preserve">, </w:t>
      </w:r>
      <w:r>
        <w:rPr>
          <w:rtl w:val="true"/>
        </w:rPr>
        <w:t>נוכחותו בקרבתם</w:t>
      </w:r>
      <w:r>
        <w:rPr>
          <w:rtl w:val="true"/>
        </w:rPr>
        <w:t xml:space="preserve">, </w:t>
      </w:r>
      <w:r>
        <w:rPr>
          <w:rtl w:val="true"/>
        </w:rPr>
        <w:t>בריחתם מהמקום ברכבו וחלוקת השלל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על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 גם בגין עבירה נושא אישום נפרד ונוסף של סחיטת נכס באיומים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השיקולים השונים</w:t>
      </w:r>
      <w:r>
        <w:rPr>
          <w:rtl w:val="true"/>
        </w:rPr>
        <w:t xml:space="preserve">, </w:t>
      </w:r>
      <w:r>
        <w:rPr>
          <w:rtl w:val="true"/>
        </w:rPr>
        <w:t xml:space="preserve">שוכנעתי כי יש לגזור על הנאשם עונש חמור מזה שנגזר על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אך מקל מזה שנגזר על הנאשם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ביחס לרכיב הפיצוי</w:t>
      </w:r>
      <w:r>
        <w:rPr>
          <w:rtl w:val="true"/>
        </w:rPr>
        <w:t xml:space="preserve">, </w:t>
      </w:r>
      <w:r>
        <w:rPr>
          <w:rtl w:val="true"/>
        </w:rPr>
        <w:t>התנהגות הנאשם ותוצאותיה</w:t>
      </w:r>
      <w:r>
        <w:rPr>
          <w:rtl w:val="true"/>
        </w:rPr>
        <w:t xml:space="preserve">, </w:t>
      </w:r>
      <w:r>
        <w:rPr>
          <w:rtl w:val="true"/>
        </w:rPr>
        <w:t>מצדיקות הטלת פיצוי כספי לטובת המתלונן</w:t>
      </w:r>
      <w:r>
        <w:rPr>
          <w:rtl w:val="true"/>
        </w:rPr>
        <w:t xml:space="preserve">, </w:t>
      </w:r>
      <w:r>
        <w:rPr>
          <w:rtl w:val="true"/>
        </w:rPr>
        <w:t>שיהיה בו משום הכרה חברתית בסבלו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אני גוזרת על 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מתוך תקופה זו ינוכו ימי מעצרו בתיק זה מיום </w:t>
      </w:r>
      <w:r>
        <w:rPr/>
        <w:t>8/2/09-31/5/09</w:t>
      </w:r>
      <w:r>
        <w:rPr>
          <w:rtl w:val="true"/>
        </w:rPr>
        <w:t xml:space="preserve">. </w:t>
      </w:r>
      <w:r>
        <w:rPr>
          <w:rtl w:val="true"/>
        </w:rPr>
        <w:t>נוכח הנסיבות לחומרא</w:t>
      </w:r>
      <w:r>
        <w:rPr>
          <w:rtl w:val="true"/>
        </w:rPr>
        <w:t xml:space="preserve">, </w:t>
      </w:r>
      <w:r>
        <w:rPr>
          <w:rtl w:val="true"/>
        </w:rPr>
        <w:t>ירוצה המאסר באופן מצטבר למאסר 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על תנאי שלא יעבור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 עבירת אלימות או רכוש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פיצוי בסך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למתלונן מר סמיון חוכים שכתובתו תמסר ע</w:t>
      </w:r>
      <w:r>
        <w:rPr>
          <w:rtl w:val="true"/>
        </w:rPr>
        <w:t>"</w:t>
      </w:r>
      <w:r>
        <w:rPr>
          <w:rtl w:val="true"/>
        </w:rPr>
        <w:t>י המאשימה למזכירות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          </w:t>
      </w:r>
      <w:r>
        <w:rPr>
          <w:rtl w:val="true"/>
        </w:rPr>
        <w:t>הפיצוי יופקד בקופת ביהמ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ורצופים הראשון ביום </w:t>
      </w:r>
      <w:r>
        <w:rPr/>
        <w:t>10/12/09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המוצג </w:t>
      </w:r>
      <w:r>
        <w:rPr>
          <w:rtl w:val="true"/>
        </w:rPr>
        <w:t>–</w:t>
      </w:r>
      <w:r>
        <w:rPr>
          <w:rtl w:val="true"/>
        </w:rPr>
        <w:t xml:space="preserve"> מכשיר טלפון נייד יוחזר למתלונן נשוא האישום השלישי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 ערעור לביהמ</w:t>
      </w:r>
      <w:r>
        <w:rPr>
          <w:rtl w:val="true"/>
        </w:rPr>
        <w:t>"</w:t>
      </w:r>
      <w:r>
        <w:rPr>
          <w:rtl w:val="true"/>
        </w:rPr>
        <w:t xml:space="preserve">ש העליון </w:t>
      </w:r>
      <w:r>
        <w:rPr>
          <w:rtl w:val="true"/>
        </w:rPr>
        <w:t>–</w:t>
      </w:r>
      <w:r>
        <w:rPr>
          <w:rtl w:val="true"/>
        </w:rPr>
        <w:t xml:space="preserve">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שושי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עסיס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/Users/liorb/Downloads/study2025-p2/ME-09-02-12695-243.doc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12695-02-09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עיסא דענא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law/70301/404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404" TargetMode="External"/><Relationship Id="rId12" Type="http://schemas.openxmlformats.org/officeDocument/2006/relationships/hyperlink" Target="http://www.nevo.co.il/case/17918196" TargetMode="External"/><Relationship Id="rId13" Type="http://schemas.openxmlformats.org/officeDocument/2006/relationships/hyperlink" Target="http://www.nevo.co.il/case/6002643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2016-09-21T15:43:00Z</dcterms:created>
  <dc:creator> </dc:creator>
  <dc:description/>
  <cp:keywords/>
  <dc:language>en-IL</dc:language>
  <cp:lastModifiedBy>orit</cp:lastModifiedBy>
  <dcterms:modified xsi:type="dcterms:W3CDTF">2016-09-21T15:43:00Z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עיסא דענא </vt:lpwstr>
  </property>
  <property fmtid="{D5CDD505-2E9C-101B-9397-08002B2CF9AE}" pid="4" name="CASESLISTTMP1">
    <vt:lpwstr>17918196;6002643</vt:lpwstr>
  </property>
  <property fmtid="{D5CDD505-2E9C-101B-9397-08002B2CF9AE}" pid="5" name="CITY">
    <vt:lpwstr>מרכז</vt:lpwstr>
  </property>
  <property fmtid="{D5CDD505-2E9C-101B-9397-08002B2CF9AE}" pid="6" name="DATE">
    <vt:lpwstr>20091103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 רות לורך</vt:lpwstr>
  </property>
  <property fmtid="{D5CDD505-2E9C-101B-9397-08002B2CF9AE}" pid="10" name="LAWLISTTMP1">
    <vt:lpwstr>70301/499.a.1;402.b;144.a;404</vt:lpwstr>
  </property>
  <property fmtid="{D5CDD505-2E9C-101B-9397-08002B2CF9AE}" pid="11" name="LAWYER">
    <vt:lpwstr>אורלי שרגנהיים;עאטף פרחת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12695</vt:lpwstr>
  </property>
  <property fmtid="{D5CDD505-2E9C-101B-9397-08002B2CF9AE}" pid="25" name="NEWPARTB">
    <vt:lpwstr>02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02 12695 243 htm</vt:lpwstr>
  </property>
  <property fmtid="{D5CDD505-2E9C-101B-9397-08002B2CF9AE}" pid="36" name="TYPE">
    <vt:lpwstr>2</vt:lpwstr>
  </property>
  <property fmtid="{D5CDD505-2E9C-101B-9397-08002B2CF9AE}" pid="37" name="TYPE_ABS_DATE">
    <vt:lpwstr>390020091103</vt:lpwstr>
  </property>
  <property fmtid="{D5CDD505-2E9C-101B-9397-08002B2CF9AE}" pid="38" name="TYPE_N_DATE">
    <vt:lpwstr>39020091103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