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הבכיר אמנון כהן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12761-11-15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וקנין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rFonts w:cs="FrankRuehl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סאמי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חוראני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אושר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וקנין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cs="FrankRuehl"/>
              </w:rPr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דודו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עמר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7" w:name="ABSTRACT_START"/>
      <w:bookmarkEnd w:id="7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מתוקן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בחומר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נפיץ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454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ובאיומים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192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.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נכה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והתפוצץ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ותגובותיו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באימפולסיביות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בהתנצלותו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בתצהיר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קונפליקט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5995/11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בדראן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14.10.12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19087-06-13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מנסור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פואז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218-10-09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24.3.10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פיח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7386/13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סכנתו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פחותה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רסס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עדיין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שבכוחו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לגרום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לאדם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בכפוף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לקרבתו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למוקד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7124/06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לרימוני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ממית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נועדו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לגרום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להניסו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הימצאו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הנגרם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הנגרם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מרימון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רגיל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לנזק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בעצם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טשטושו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והכנסתו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למצב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דירוגו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החמורים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להקל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ראש</w:t>
      </w:r>
      <w:r>
        <w:rPr>
          <w:rFonts w:cs="FrankRuehl"/>
          <w:b/>
          <w:bCs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2718/04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דאחל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23.10.15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אייר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10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מאי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2016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12761-11-15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 אושר וקנין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454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043688" TargetMode="External"/><Relationship Id="rId14" Type="http://schemas.openxmlformats.org/officeDocument/2006/relationships/hyperlink" Target="http://www.nevo.co.il/case/7676477" TargetMode="External"/><Relationship Id="rId15" Type="http://schemas.openxmlformats.org/officeDocument/2006/relationships/hyperlink" Target="http://www.nevo.co.il/case/4368246" TargetMode="External"/><Relationship Id="rId16" Type="http://schemas.openxmlformats.org/officeDocument/2006/relationships/hyperlink" Target="http://www.nevo.co.il/case/10443017" TargetMode="External"/><Relationship Id="rId17" Type="http://schemas.openxmlformats.org/officeDocument/2006/relationships/hyperlink" Target="http://www.nevo.co.il/case/5865581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2016-12-01T14:56:00Z</dcterms:created>
  <dc:creator> </dc:creator>
  <dc:description/>
  <cp:keywords/>
  <dc:language>en-IL</dc:language>
  <cp:lastModifiedBy>hofit</cp:lastModifiedBy>
  <dcterms:modified xsi:type="dcterms:W3CDTF">2016-12-01T14:56:00Z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 אושר וקנין</vt:lpwstr>
  </property>
  <property fmtid="{D5CDD505-2E9C-101B-9397-08002B2CF9AE}" pid="4" name="CASESLISTTMP1">
    <vt:lpwstr>6043688;7676477;4368246;10443017;5865581;5852404</vt:lpwstr>
  </property>
  <property fmtid="{D5CDD505-2E9C-101B-9397-08002B2CF9AE}" pid="5" name="CITY">
    <vt:lpwstr>י-ם</vt:lpwstr>
  </property>
  <property fmtid="{D5CDD505-2E9C-101B-9397-08002B2CF9AE}" pid="6" name="DATE">
    <vt:lpwstr>20160510</vt:lpwstr>
  </property>
  <property fmtid="{D5CDD505-2E9C-101B-9397-08002B2CF9AE}" pid="7" name="ISABSTRACT">
    <vt:lpwstr>Y</vt:lpwstr>
  </property>
  <property fmtid="{D5CDD505-2E9C-101B-9397-08002B2CF9AE}" pid="8" name="JUDGE">
    <vt:lpwstr>אמנון כהן</vt:lpwstr>
  </property>
  <property fmtid="{D5CDD505-2E9C-101B-9397-08002B2CF9AE}" pid="9" name="LAWLISTTMP1">
    <vt:lpwstr>70301/144.a;452;454;192</vt:lpwstr>
  </property>
  <property fmtid="{D5CDD505-2E9C-101B-9397-08002B2CF9AE}" pid="10" name="LAWYER">
    <vt:lpwstr>סאמי חוראני;דודו עמר</vt:lpwstr>
  </property>
  <property fmtid="{D5CDD505-2E9C-101B-9397-08002B2CF9AE}" pid="11" name="NEWPARTA">
    <vt:lpwstr>12761</vt:lpwstr>
  </property>
  <property fmtid="{D5CDD505-2E9C-101B-9397-08002B2CF9AE}" pid="12" name="NEWPARTB">
    <vt:lpwstr>11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390020160510</vt:lpwstr>
  </property>
  <property fmtid="{D5CDD505-2E9C-101B-9397-08002B2CF9AE}" pid="18" name="TYPE_N_DATE">
    <vt:lpwstr>39020160510</vt:lpwstr>
  </property>
  <property fmtid="{D5CDD505-2E9C-101B-9397-08002B2CF9AE}" pid="19" name="WORDNUMPAGES">
    <vt:lpwstr>5</vt:lpwstr>
  </property>
</Properties>
</file>