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12881-03-10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המדינה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מחלקה כללית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טל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יד מצוינות בשירות 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הישאם  אבו שחאדה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מאשימה 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פרקליטות המדינה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מחלקה כללית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נאשמים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טל 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יד מצוינות בשירות בע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נורית אילנה דדון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דר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חציל ב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>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בע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נתן ברנהולץ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5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א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אופק מערכות והנדסה בע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6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אילן אופק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 xml:space="preserve">בא כוח מאשימה 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u w:val="none"/>
          <w:rtl w:val="true"/>
        </w:rPr>
        <w:t xml:space="preserve">עפרה 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 xml:space="preserve">אורנשטיין 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בא כוח נאשמים 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לילך כהן 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נאשם </w:t>
      </w:r>
      <w:r>
        <w:rPr>
          <w:u w:val="none"/>
        </w:rPr>
        <w:t>3</w:t>
      </w:r>
      <w:r>
        <w:rPr>
          <w:b w:val="false"/>
          <w:bCs w:val="false"/>
          <w:u w:val="none"/>
          <w:rtl w:val="true"/>
        </w:rPr>
        <w:t xml:space="preserve">    </w:t>
      </w:r>
      <w:r>
        <w:rPr>
          <w:u w:val="none"/>
          <w:rtl w:val="true"/>
        </w:rPr>
        <w:t>דר</w:t>
      </w:r>
      <w:r>
        <w:rPr>
          <w:u w:val="none"/>
          <w:rtl w:val="true"/>
        </w:rPr>
        <w:t xml:space="preserve">' </w:t>
      </w:r>
      <w:r>
        <w:rPr>
          <w:u w:val="none"/>
          <w:rtl w:val="true"/>
        </w:rPr>
        <w:t>חציל ב</w:t>
      </w:r>
      <w:r>
        <w:rPr>
          <w:u w:val="none"/>
          <w:rtl w:val="true"/>
        </w:rPr>
        <w:t>.</w:t>
      </w:r>
      <w:r>
        <w:rPr>
          <w:u w:val="none"/>
          <w:rtl w:val="true"/>
        </w:rPr>
        <w:t>ר</w:t>
      </w:r>
      <w:r>
        <w:rPr>
          <w:u w:val="none"/>
          <w:rtl w:val="true"/>
        </w:rPr>
        <w:t>.</w:t>
      </w:r>
      <w:r>
        <w:rPr>
          <w:u w:val="none"/>
          <w:rtl w:val="true"/>
        </w:rPr>
        <w:t>נ</w:t>
      </w:r>
      <w:r>
        <w:rPr>
          <w:u w:val="none"/>
          <w:rtl w:val="true"/>
        </w:rPr>
        <w:t xml:space="preserve">. </w:t>
      </w:r>
      <w:r>
        <w:rPr>
          <w:u w:val="none"/>
          <w:rtl w:val="true"/>
        </w:rPr>
        <w:t>בע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מ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נאשם </w:t>
      </w:r>
      <w:r>
        <w:rPr>
          <w:u w:val="none"/>
        </w:rPr>
        <w:t>4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u w:val="none"/>
          <w:rtl w:val="true"/>
        </w:rPr>
        <w:t>נתן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 xml:space="preserve">ברנהולץ </w:t>
      </w:r>
      <w:r>
        <w:rPr>
          <w:u w:val="none"/>
          <w:rtl w:val="true"/>
        </w:rPr>
        <w:t xml:space="preserve">-  </w:t>
      </w:r>
      <w:r>
        <w:rPr>
          <w:u w:val="none"/>
          <w:rtl w:val="true"/>
        </w:rPr>
        <w:t xml:space="preserve">נוכח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4"/>
          <w:szCs w:val="4"/>
          <w:u w:val="none"/>
        </w:rPr>
      </w:pPr>
      <w:r>
        <w:rPr>
          <w:b/>
          <w:bCs/>
          <w:sz w:val="4"/>
          <w:szCs w:val="4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156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204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63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LastJudge"/>
      <w:bookmarkStart w:id="7" w:name="PsakDin"/>
      <w:bookmarkEnd w:id="6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cs="FrankRueh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 xml:space="preserve">הנאשמים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הורשעו על פי הודייתם בביצוע עבירה של שימוש במקרקעין ללא היתר ובסטיה מתכנית מתאר בקרקע חקלאית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0">
        <w:r>
          <w:rPr>
            <w:rStyle w:val="Hyperlink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u w:val="single"/>
          </w:rPr>
          <w:t>145</w:t>
        </w:r>
      </w:hyperlink>
      <w:r>
        <w:rPr>
          <w:rtl w:val="true"/>
        </w:rPr>
        <w:t xml:space="preserve">, </w:t>
      </w:r>
      <w:hyperlink r:id="rId21">
        <w:r>
          <w:rPr>
            <w:rStyle w:val="Hyperlink"/>
            <w:color w:val="0000FF"/>
            <w:u w:val="single"/>
          </w:rPr>
          <w:t>156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, </w:t>
      </w:r>
      <w:hyperlink r:id="rId22">
        <w:r>
          <w:rPr>
            <w:rStyle w:val="Hyperlink"/>
            <w:color w:val="0000FF"/>
            <w:u w:val="single"/>
          </w:rPr>
          <w:t>204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3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 התכנון והבנייה</w:t>
        </w:r>
      </w:hyperlink>
      <w:r>
        <w:rPr>
          <w:rtl w:val="true"/>
        </w:rPr>
        <w:t xml:space="preserve"> תשכ</w:t>
      </w:r>
      <w:r>
        <w:rPr>
          <w:rtl w:val="true"/>
        </w:rPr>
        <w:t>"</w:t>
      </w:r>
      <w:r>
        <w:rPr>
          <w:rtl w:val="true"/>
        </w:rPr>
        <w:t xml:space="preserve">ה – </w:t>
      </w:r>
      <w:r>
        <w:rPr/>
        <w:t>1965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על פי עובדות כתב האישום נאשמת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הינה חברה בע</w:t>
      </w:r>
      <w:r>
        <w:rPr>
          <w:rtl w:val="true"/>
        </w:rPr>
        <w:t>"</w:t>
      </w:r>
      <w:r>
        <w:rPr>
          <w:rtl w:val="true"/>
        </w:rPr>
        <w:t>מ העוסקת בגידול ושיווק של תוצרת חקלאית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הוא מנהל פעיל של נאשמת </w:t>
      </w:r>
      <w:r>
        <w:rPr/>
        <w:t>3</w:t>
      </w:r>
      <w:r>
        <w:rPr>
          <w:rtl w:val="true"/>
        </w:rPr>
        <w:t xml:space="preserve">.  </w:t>
      </w:r>
      <w:r>
        <w:rPr>
          <w:rtl w:val="true"/>
        </w:rPr>
        <w:t xml:space="preserve">נאשמת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מחזיקה במבנה מס</w:t>
      </w:r>
      <w:r>
        <w:rPr>
          <w:rtl w:val="true"/>
        </w:rPr>
        <w:t xml:space="preserve">' </w:t>
      </w:r>
      <w:r>
        <w:rPr/>
        <w:t>68</w:t>
      </w:r>
      <w:r>
        <w:rPr>
          <w:rtl w:val="true"/>
        </w:rPr>
        <w:t xml:space="preserve"> </w:t>
      </w:r>
      <w:r>
        <w:rPr>
          <w:rtl w:val="true"/>
        </w:rPr>
        <w:t xml:space="preserve">בתרשים שצורף לכתב האישום </w:t>
      </w:r>
      <w:r>
        <w:rPr>
          <w:rtl w:val="true"/>
        </w:rPr>
        <w:t>(</w:t>
      </w:r>
      <w:r>
        <w:rPr>
          <w:rtl w:val="true"/>
        </w:rPr>
        <w:t xml:space="preserve">להלן – </w:t>
      </w:r>
      <w:r>
        <w:rPr>
          <w:b/>
          <w:b/>
          <w:bCs/>
          <w:rtl w:val="true"/>
        </w:rPr>
        <w:t>המבנה</w:t>
      </w:r>
      <w:r>
        <w:rPr>
          <w:rtl w:val="true"/>
        </w:rPr>
        <w:t xml:space="preserve">). </w:t>
      </w:r>
      <w:r>
        <w:rPr>
          <w:rtl w:val="true"/>
        </w:rPr>
        <w:t xml:space="preserve">המבנה הוא בשטח של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ר ונמצא במקרקעין הידועים כחלקה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 xml:space="preserve">בגוש </w:t>
      </w:r>
      <w:r>
        <w:rPr/>
        <w:t>5715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5716</w:t>
      </w:r>
      <w:r>
        <w:rPr>
          <w:rtl w:val="true"/>
        </w:rPr>
        <w:t xml:space="preserve"> </w:t>
      </w:r>
      <w:r>
        <w:rPr>
          <w:rtl w:val="true"/>
        </w:rPr>
        <w:t>הידוע כמשק מס</w:t>
      </w:r>
      <w:r>
        <w:rPr>
          <w:rtl w:val="true"/>
        </w:rPr>
        <w:t xml:space="preserve">'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בכפר טרומן והמצוי במרחב התכנון של הועדה המקומית לתכנון ולבניה</w:t>
      </w:r>
      <w:r>
        <w:rPr>
          <w:rtl w:val="true"/>
        </w:rPr>
        <w:t xml:space="preserve">, </w:t>
      </w:r>
      <w:r>
        <w:rPr>
          <w:rtl w:val="true"/>
        </w:rPr>
        <w:t xml:space="preserve">חבל מודיעין  </w:t>
      </w:r>
      <w:r>
        <w:rPr>
          <w:rtl w:val="true"/>
        </w:rPr>
        <w:t>(</w:t>
      </w:r>
      <w:r>
        <w:rPr>
          <w:rtl w:val="true"/>
        </w:rPr>
        <w:t xml:space="preserve">להלן – </w:t>
      </w:r>
      <w:r>
        <w:rPr>
          <w:b/>
          <w:b/>
          <w:bCs/>
          <w:rtl w:val="true"/>
        </w:rPr>
        <w:t>המקרקעין</w:t>
      </w:r>
      <w:r>
        <w:rPr>
          <w:rtl w:val="true"/>
        </w:rPr>
        <w:t xml:space="preserve">). </w:t>
      </w:r>
      <w:r>
        <w:rPr>
          <w:rtl w:val="true"/>
        </w:rPr>
        <w:t xml:space="preserve">המבנה משמש את נאשמת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כמשרד מספטמבר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מרבית שטח המקרקעין</w:t>
      </w:r>
      <w:r>
        <w:rPr>
          <w:rtl w:val="true"/>
        </w:rPr>
        <w:t xml:space="preserve">, </w:t>
      </w:r>
      <w:r>
        <w:rPr>
          <w:rtl w:val="true"/>
        </w:rPr>
        <w:t>הכולל את המבנה</w:t>
      </w:r>
      <w:r>
        <w:rPr>
          <w:rtl w:val="true"/>
        </w:rPr>
        <w:t xml:space="preserve">, </w:t>
      </w:r>
      <w:r>
        <w:rPr>
          <w:rtl w:val="true"/>
        </w:rPr>
        <w:t>הוכרז כקרקע חקלאית מתוקף סמכותה של הועדה לשמירה על קרקע חקלאית ושטחים פתוחים ע</w:t>
      </w:r>
      <w:r>
        <w:rPr>
          <w:rtl w:val="true"/>
        </w:rPr>
        <w:t>"</w:t>
      </w:r>
      <w:r>
        <w:rPr>
          <w:rtl w:val="true"/>
        </w:rPr>
        <w:t xml:space="preserve">פ </w:t>
      </w:r>
      <w:hyperlink r:id="rId2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לתוספת ל</w:t>
      </w:r>
      <w:hyperlink r:id="rId26">
        <w:r>
          <w:rPr>
            <w:rStyle w:val="Hyperlink"/>
            <w:rtl w:val="true"/>
          </w:rPr>
          <w:t>חוק התכנון והבניה</w:t>
        </w:r>
      </w:hyperlink>
      <w:r>
        <w:rPr>
          <w:rtl w:val="true"/>
        </w:rPr>
        <w:t xml:space="preserve"> תשכ</w:t>
      </w:r>
      <w:r>
        <w:rPr>
          <w:rtl w:val="true"/>
        </w:rPr>
        <w:t>"</w:t>
      </w:r>
      <w:r>
        <w:rPr>
          <w:rtl w:val="true"/>
        </w:rPr>
        <w:t xml:space="preserve">ה – </w:t>
      </w:r>
      <w:r>
        <w:rPr/>
        <w:t>1965</w:t>
      </w:r>
      <w:r>
        <w:rPr>
          <w:rtl w:val="true"/>
        </w:rPr>
        <w:t xml:space="preserve">. </w:t>
      </w:r>
      <w:r>
        <w:rPr>
          <w:rtl w:val="true"/>
        </w:rPr>
        <w:t xml:space="preserve">ההכרזה פורסמה בילקוט פרסומים </w:t>
      </w:r>
      <w:r>
        <w:rPr/>
        <w:t>4963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19.2.2001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בא כוח המאשימה טענה כי הקרקע היא משאב מרכזי במדינה ויש להקפיד בשמירה על חוקי התכנון והבניה באופן השימוש בקרקע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הדגישה שהנאשמים היו מודעים לכך שמדובר בקרקע חקלאית ובכל זאת שכרו את המבנה וכי יש לתת משקל לעובדה שעשו שימוש במבנה במשך לפחות ארבע 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 xml:space="preserve">בא כוח הנאשם טענה כי הנאשמת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עוסקת בתחום החקלאות וכי המבנה נשכר במטרה שישמש כמשרד למיזם חקלאי גדול שהנאשמים היו מעוניינים להקים במקום</w:t>
      </w:r>
      <w:r>
        <w:rPr>
          <w:rtl w:val="true"/>
        </w:rPr>
        <w:t xml:space="preserve">, </w:t>
      </w:r>
      <w:r>
        <w:rPr>
          <w:rtl w:val="true"/>
        </w:rPr>
        <w:t>אך  תוכניתם זו בסופו של דבר לא יצאה לפועל</w:t>
      </w:r>
      <w:r>
        <w:rPr>
          <w:rtl w:val="true"/>
        </w:rPr>
        <w:t xml:space="preserve">. </w:t>
      </w:r>
      <w:r>
        <w:rPr>
          <w:rtl w:val="true"/>
        </w:rPr>
        <w:t>בנוסף בא כוח הנאשמים הוסיפה כי בפועל נעשה שימוש רק ב</w:t>
      </w:r>
      <w:r>
        <w:rPr>
          <w:rtl w:val="true"/>
        </w:rPr>
        <w:t xml:space="preserve">-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 מתוך ה</w:t>
      </w:r>
      <w:r>
        <w:rPr>
          <w:rtl w:val="true"/>
        </w:rPr>
        <w:t xml:space="preserve">-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 שנשכרו</w:t>
      </w:r>
      <w:r>
        <w:rPr>
          <w:rtl w:val="true"/>
        </w:rPr>
        <w:t xml:space="preserve">. </w:t>
      </w:r>
      <w:r>
        <w:rPr>
          <w:rtl w:val="true"/>
        </w:rPr>
        <w:t>יובהר כבר עתה</w:t>
      </w:r>
      <w:r>
        <w:rPr>
          <w:rtl w:val="true"/>
        </w:rPr>
        <w:t xml:space="preserve">, </w:t>
      </w:r>
      <w:r>
        <w:rPr>
          <w:rtl w:val="true"/>
        </w:rPr>
        <w:t xml:space="preserve">כי הנאשמים הודו בכתב האישום בשימוש בשטח של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ולכן זה הבסיס של העונש שיינתן בגזר 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הכלל הוא שתחילה מקבלים היתר ורק לאחר מכן פועלים על פי ההיתר</w:t>
      </w:r>
      <w:r>
        <w:rPr>
          <w:rtl w:val="true"/>
        </w:rPr>
        <w:t xml:space="preserve">, </w:t>
      </w:r>
      <w:r>
        <w:rPr>
          <w:rtl w:val="true"/>
        </w:rPr>
        <w:t xml:space="preserve">זאת בין אם מדובר בבניה על פני מקרקעין ובין אם מדובר בשימוש במקרקעין לייעוד כזה או אחר </w:t>
      </w:r>
      <w:r>
        <w:rPr>
          <w:rtl w:val="true"/>
        </w:rPr>
        <w:t>(</w:t>
      </w:r>
      <w:hyperlink r:id="rId2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2885/08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הוועדה המקומית לתכנון ולבניה תל אביב יפו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מוסא דכה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 בנבו</w:t>
      </w:r>
      <w:r>
        <w:rPr>
          <w:rtl w:val="true"/>
        </w:rPr>
        <w:t xml:space="preserve">], </w:t>
      </w:r>
      <w:r>
        <w:rPr>
          <w:rtl w:val="true"/>
        </w:rPr>
        <w:t xml:space="preserve">ניתן ביום </w:t>
      </w:r>
      <w:r>
        <w:rPr/>
        <w:t>22.11.2009</w:t>
      </w:r>
      <w:r>
        <w:rPr>
          <w:rtl w:val="true"/>
        </w:rPr>
        <w:t xml:space="preserve">, </w:t>
      </w:r>
      <w:r>
        <w:rPr>
          <w:rtl w:val="true"/>
        </w:rPr>
        <w:t>פסקאות טז</w:t>
      </w:r>
      <w:r>
        <w:rPr>
          <w:rtl w:val="true"/>
        </w:rPr>
        <w:t xml:space="preserve">' </w:t>
      </w:r>
      <w:r>
        <w:rPr>
          <w:rtl w:val="true"/>
        </w:rPr>
        <w:t>עד כ</w:t>
      </w:r>
      <w:r>
        <w:rPr>
          <w:rtl w:val="true"/>
        </w:rPr>
        <w:t xml:space="preserve">' </w:t>
      </w:r>
      <w:r>
        <w:rPr>
          <w:rtl w:val="true"/>
        </w:rPr>
        <w:t>לפסק דינו של כבוד השופט רובינשטיין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העבירה שבה הורשעו הנאשמים של שימוש במקרקעין בניגוד להיתר או תוכנית היא עבירה נמשכת </w:t>
      </w:r>
      <w:r>
        <w:rPr>
          <w:rtl w:val="true"/>
        </w:rPr>
        <w:t>(</w:t>
      </w:r>
      <w:hyperlink r:id="rId2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8986/06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סוזה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 בנבו</w:t>
      </w:r>
      <w:r>
        <w:rPr>
          <w:rtl w:val="true"/>
        </w:rPr>
        <w:t xml:space="preserve">], </w:t>
      </w:r>
      <w:r>
        <w:rPr>
          <w:rtl w:val="true"/>
        </w:rPr>
        <w:t xml:space="preserve">ניתן ביום </w:t>
      </w:r>
      <w:r>
        <w:rPr/>
        <w:t>18.2.2007</w:t>
      </w:r>
      <w:r>
        <w:rPr>
          <w:rtl w:val="true"/>
        </w:rPr>
        <w:t xml:space="preserve">, </w:t>
      </w:r>
      <w:r>
        <w:rPr>
          <w:rtl w:val="true"/>
        </w:rPr>
        <w:t>על ידי כבוד השופט 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hyperlink r:id="rId2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204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חוק התכנון והבנייה</w:t>
        </w:r>
      </w:hyperlink>
      <w:r>
        <w:rPr>
          <w:rtl w:val="true"/>
        </w:rPr>
        <w:t xml:space="preserve"> תשכ</w:t>
      </w:r>
      <w:r>
        <w:rPr>
          <w:rtl w:val="true"/>
        </w:rPr>
        <w:t>"</w:t>
      </w:r>
      <w:r>
        <w:rPr>
          <w:rtl w:val="true"/>
        </w:rPr>
        <w:t xml:space="preserve">ה – </w:t>
      </w:r>
      <w:r>
        <w:rPr/>
        <w:t>5</w:t>
      </w:r>
      <w:r>
        <w:rPr/>
        <w:t>196</w:t>
      </w:r>
      <w:r>
        <w:rPr>
          <w:rtl w:val="true"/>
        </w:rPr>
        <w:t xml:space="preserve">, </w:t>
      </w:r>
      <w:r>
        <w:rPr>
          <w:rtl w:val="true"/>
        </w:rPr>
        <w:t>שבו הורשעו הנאשמים</w:t>
      </w:r>
      <w:r>
        <w:rPr>
          <w:rtl w:val="true"/>
        </w:rPr>
        <w:t xml:space="preserve">, </w:t>
      </w:r>
      <w:r>
        <w:rPr>
          <w:rtl w:val="true"/>
        </w:rPr>
        <w:t>קובע כי המבצע עבודה או שימוש במקרקעין ללא היתר דינו מאסר שנתיים וקנס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נקבע כי בעבירה נמשכת דינו </w:t>
      </w:r>
      <w:r>
        <w:rPr>
          <w:rtl w:val="true"/>
        </w:rPr>
        <w:t>"</w:t>
      </w:r>
      <w:r>
        <w:rPr>
          <w:rtl w:val="true"/>
        </w:rPr>
        <w:t>קנס נוסף</w:t>
      </w:r>
      <w:r>
        <w:rPr>
          <w:rtl w:val="true"/>
        </w:rPr>
        <w:t xml:space="preserve">" </w:t>
      </w:r>
      <w:r>
        <w:rPr>
          <w:rtl w:val="true"/>
        </w:rPr>
        <w:t>ומאסר נוסף לכל יום שבו נמשכת העבירה</w:t>
      </w:r>
      <w:r>
        <w:rPr>
          <w:rtl w:val="true"/>
        </w:rPr>
        <w:t xml:space="preserve">. </w:t>
      </w:r>
      <w:r>
        <w:rPr>
          <w:rtl w:val="true"/>
        </w:rPr>
        <w:t xml:space="preserve">הסמכות להטלת קנס </w:t>
      </w:r>
      <w:r>
        <w:rPr>
          <w:rtl w:val="true"/>
        </w:rPr>
        <w:t>"</w:t>
      </w:r>
      <w:r>
        <w:rPr>
          <w:rtl w:val="true"/>
        </w:rPr>
        <w:t>נוסף</w:t>
      </w:r>
      <w:r>
        <w:rPr>
          <w:rtl w:val="true"/>
        </w:rPr>
        <w:t xml:space="preserve">" </w:t>
      </w:r>
      <w:r>
        <w:rPr>
          <w:rtl w:val="true"/>
        </w:rPr>
        <w:t xml:space="preserve">לכל יום שבו נמשכת העבירה מופיעה גם </w:t>
      </w:r>
      <w:hyperlink r:id="rId31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61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 xml:space="preserve">ואשר לפיו ניתן להשית קנס בסך של </w:t>
      </w:r>
      <w:r>
        <w:rPr/>
        <w:t>1,400</w:t>
      </w:r>
      <w:r>
        <w:rPr>
          <w:rtl w:val="true"/>
        </w:rPr>
        <w:t xml:space="preserve"> </w:t>
      </w:r>
      <w:r>
        <w:rPr>
          <w:rtl w:val="true"/>
        </w:rPr>
        <w:t>עבור כל יום שבו נמשכה העבירה</w:t>
      </w:r>
      <w:r>
        <w:rPr>
          <w:rtl w:val="true"/>
        </w:rPr>
        <w:t xml:space="preserve">. </w:t>
      </w:r>
      <w:r>
        <w:rPr>
          <w:rtl w:val="true"/>
        </w:rPr>
        <w:t xml:space="preserve">עבירת התכנון והבניה אוצרות בחובן אלמנט של רווח כלכלי ומכאן ההיגיון בהטלת קנס יומי במקרים שבהם מדובר בעבירה נמשכת על מנת להרתיע את הציבור וכן על מנת ליטול את </w:t>
      </w:r>
      <w:r>
        <w:rPr>
          <w:rtl w:val="true"/>
        </w:rPr>
        <w:t>"</w:t>
      </w:r>
      <w:r>
        <w:rPr>
          <w:rtl w:val="true"/>
        </w:rPr>
        <w:t>עוקצו</w:t>
      </w:r>
      <w:r>
        <w:rPr>
          <w:rtl w:val="true"/>
        </w:rPr>
        <w:t xml:space="preserve">" </w:t>
      </w:r>
      <w:r>
        <w:rPr>
          <w:rtl w:val="true"/>
        </w:rPr>
        <w:t>של הרווח הכלכלי שממנו נהנה הנאשם על ידי פגיעה משמעותית בכיסו</w:t>
      </w:r>
      <w:r>
        <w:rPr>
          <w:rtl w:val="true"/>
        </w:rPr>
        <w:t xml:space="preserve">. </w:t>
      </w:r>
      <w:r>
        <w:rPr>
          <w:rtl w:val="true"/>
        </w:rPr>
        <w:t xml:space="preserve">במקרה שבפני השימוש במבנה החל בחודש ספטמבר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וממשיך לפעול עד היום ללא היתר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 xml:space="preserve">הוראה נוספת שהינה רלבנטית לעניינו היא הוראת </w:t>
      </w:r>
      <w:hyperlink r:id="rId3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63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 xml:space="preserve">הקובע כדלקמן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בשל עבירה שנתכוון בה הנאשם לגרום נזק ממון לאחר או להשיג טובת הנאה לעצמו או לאחר</w:t>
      </w:r>
      <w:r>
        <w:rPr>
          <w:rtl w:val="true"/>
        </w:rPr>
        <w:t xml:space="preserve">, </w:t>
      </w:r>
      <w:r>
        <w:rPr>
          <w:rtl w:val="true"/>
        </w:rPr>
        <w:t>רשאי בית המשפט להטיל על הנאשם קנס פי ארבעה משוויים של הנזק שנגרם או של טובת ההנאה שהושגה על ידי העבירה</w:t>
      </w:r>
      <w:r>
        <w:rPr>
          <w:rtl w:val="true"/>
        </w:rPr>
        <w:t xml:space="preserve">, </w:t>
      </w:r>
      <w:r>
        <w:rPr>
          <w:rtl w:val="true"/>
        </w:rPr>
        <w:t>או את הקנס שנקבע בחיקוק</w:t>
      </w:r>
      <w:r>
        <w:rPr>
          <w:rtl w:val="true"/>
        </w:rPr>
        <w:t xml:space="preserve">, </w:t>
      </w:r>
      <w:r>
        <w:rPr>
          <w:rtl w:val="true"/>
        </w:rPr>
        <w:t>הכל לפי הגדול שבהם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3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 </w:t>
        </w:r>
        <w:r>
          <w:rPr>
            <w:rStyle w:val="Hyperlink"/>
          </w:rPr>
          <w:t>4679/10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שמשון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עיריית תל אביב יפו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 בנבו</w:t>
      </w:r>
      <w:r>
        <w:rPr>
          <w:rtl w:val="true"/>
        </w:rPr>
        <w:t xml:space="preserve">], </w:t>
      </w:r>
      <w:r>
        <w:rPr>
          <w:rtl w:val="true"/>
        </w:rPr>
        <w:t xml:space="preserve">ניתן ביום </w:t>
      </w:r>
      <w:r>
        <w:rPr/>
        <w:t>1.8.2011</w:t>
      </w:r>
      <w:r>
        <w:rPr>
          <w:rtl w:val="true"/>
        </w:rPr>
        <w:t xml:space="preserve">, </w:t>
      </w:r>
      <w:r>
        <w:rPr>
          <w:rtl w:val="true"/>
        </w:rPr>
        <w:t xml:space="preserve">נקבע כי ניתן להחיל את </w:t>
      </w:r>
      <w:hyperlink r:id="rId3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63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על עבירות לפי </w:t>
      </w:r>
      <w:hyperlink r:id="rId38">
        <w:r>
          <w:rPr>
            <w:rStyle w:val="Hyperlink"/>
            <w:rtl w:val="true"/>
          </w:rPr>
          <w:t>חוק התכנון והבנייה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לפסק הדין של כבוד השופט דנציגר</w:t>
      </w:r>
      <w:r>
        <w:rPr>
          <w:rtl w:val="true"/>
        </w:rPr>
        <w:t>) (</w:t>
      </w:r>
      <w:r>
        <w:rPr>
          <w:rtl w:val="true"/>
        </w:rPr>
        <w:t xml:space="preserve">להלן – </w:t>
      </w:r>
      <w:r>
        <w:rPr>
          <w:b/>
          <w:b/>
          <w:bCs/>
          <w:rtl w:val="true"/>
        </w:rPr>
        <w:t>פסק דין שמשון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נקבע כי טובת ההנאה ממנה נגזר שיעורו המקסימלי של הקנס שניתן להשית לפי </w:t>
      </w:r>
      <w:hyperlink r:id="rId3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63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היא טובת ההנאה אשר הושגה בפועל על ידי ביצוע 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 xml:space="preserve">בא כוח המאשימה טענה כי בעת שהנאשמים שכרו מבנה בשטח של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 לצורך שימוש בו למשרד</w:t>
      </w:r>
      <w:r>
        <w:rPr>
          <w:rtl w:val="true"/>
        </w:rPr>
        <w:t xml:space="preserve">, </w:t>
      </w:r>
      <w:r>
        <w:rPr>
          <w:rtl w:val="true"/>
        </w:rPr>
        <w:t>במקום לשכור שטח דומה באזור המותר לעשות בו שימוש למשרד</w:t>
      </w:r>
      <w:r>
        <w:rPr>
          <w:rtl w:val="true"/>
        </w:rPr>
        <w:t xml:space="preserve">, </w:t>
      </w:r>
      <w:r>
        <w:rPr>
          <w:rtl w:val="true"/>
        </w:rPr>
        <w:t xml:space="preserve">יש לנאשמים רווח כלכלי שנע לפחות בין </w:t>
      </w:r>
      <w:r>
        <w:rPr/>
        <w:t>1,500</w:t>
      </w:r>
      <w:r>
        <w:rPr>
          <w:rtl w:val="true"/>
        </w:rPr>
        <w:t xml:space="preserve"> ₪ </w:t>
      </w:r>
      <w:r>
        <w:rPr>
          <w:rtl w:val="true"/>
        </w:rPr>
        <w:t xml:space="preserve">עד </w:t>
      </w:r>
      <w:r>
        <w:rPr/>
        <w:t>2,000</w:t>
      </w:r>
      <w:r>
        <w:rPr>
          <w:rtl w:val="true"/>
        </w:rPr>
        <w:t xml:space="preserve"> ₪. </w:t>
      </w:r>
      <w:r>
        <w:rPr>
          <w:rtl w:val="true"/>
        </w:rPr>
        <w:t>יוזכר תחילה כי בפסק דין שמשון טובת ההנאה שהושגה בפועל הוכחה בחוות דעת של מומחה</w:t>
      </w:r>
      <w:r>
        <w:rPr>
          <w:rtl w:val="true"/>
        </w:rPr>
        <w:t xml:space="preserve">. </w:t>
      </w:r>
      <w:r>
        <w:rPr>
          <w:rtl w:val="true"/>
        </w:rPr>
        <w:t>במקרה שבפני לא הוגשה חוות דעת של מומחה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hyperlink r:id="rId41">
        <w:r>
          <w:rPr>
            <w:rStyle w:val="Hyperlink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42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 xml:space="preserve">מורה כדלקמן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 xml:space="preserve">בית המשפט יקבע כי התקיימה נסיבה מחמירה הקשורה בביצוע העבירה אם היא הוכחה מעבר לספק סביר </w:t>
      </w:r>
      <w:r>
        <w:rPr>
          <w:rtl w:val="true"/>
        </w:rPr>
        <w:t xml:space="preserve">; </w:t>
      </w:r>
      <w:r>
        <w:rPr>
          <w:rtl w:val="true"/>
        </w:rPr>
        <w:t>בית המשפט יקבע כי התקיימה נסיבה מקילה בביצוע העבירה אם היא הוכחה ברמת ההוכחה הנדרשת במשפט אזרחי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)</w:t>
        <w:tab/>
      </w:r>
      <w:r>
        <w:rPr>
          <w:rtl w:val="true"/>
        </w:rPr>
        <w:t xml:space="preserve">בלי לגרוע מהוראות סעיף קטן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הודה הנאשם בעובדות כתב האישום</w:t>
      </w:r>
      <w:r>
        <w:rPr>
          <w:rtl w:val="true"/>
        </w:rPr>
        <w:t xml:space="preserve">, </w:t>
      </w:r>
      <w:r>
        <w:rPr>
          <w:rtl w:val="true"/>
        </w:rPr>
        <w:t>בין לאחר שמיעת הראיות ובין לפני כן</w:t>
      </w:r>
      <w:r>
        <w:rPr>
          <w:rtl w:val="true"/>
        </w:rPr>
        <w:t xml:space="preserve">, </w:t>
      </w:r>
      <w:r>
        <w:rPr>
          <w:rtl w:val="true"/>
        </w:rPr>
        <w:t>יכלול כתב האישום שבו הודה את כל העובדות והנסיבות הקשורות בביצוע העבירה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במקרה שבפני</w:t>
      </w:r>
      <w:r>
        <w:rPr>
          <w:rtl w:val="true"/>
        </w:rPr>
        <w:t xml:space="preserve">, </w:t>
      </w:r>
      <w:r>
        <w:rPr>
          <w:rtl w:val="true"/>
        </w:rPr>
        <w:t xml:space="preserve">לא הוכח מעל לכל ספק סביר מהו הרווח הכלכלי </w:t>
      </w:r>
      <w:r>
        <w:rPr>
          <w:b/>
          <w:b/>
          <w:bCs/>
          <w:rtl w:val="true"/>
        </w:rPr>
        <w:t xml:space="preserve">בפועל </w:t>
      </w:r>
      <w:r>
        <w:rPr>
          <w:rtl w:val="true"/>
        </w:rPr>
        <w:t>שהיה לנאשמים מכך ששכרו מבנה לשימוש כמשרד לעסקיהם בשטח החקלאי נשוא כתב האישום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בעובדות כתב האישום לא היתה התייחסות לרווח הכלכלי שהיה להם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 xml:space="preserve">בעת קביעת </w:t>
      </w:r>
      <w:r>
        <w:rPr>
          <w:rtl w:val="true"/>
        </w:rPr>
        <w:t>"</w:t>
      </w:r>
      <w:r>
        <w:rPr>
          <w:b/>
          <w:b/>
          <w:bCs/>
          <w:rtl w:val="true"/>
        </w:rPr>
        <w:t>מתחם העונש ההולם</w:t>
      </w:r>
      <w:r>
        <w:rPr>
          <w:rtl w:val="true"/>
        </w:rPr>
        <w:t xml:space="preserve">" </w:t>
      </w:r>
      <w:r>
        <w:rPr>
          <w:rtl w:val="true"/>
        </w:rPr>
        <w:t xml:space="preserve">לעבירה שאותה ביצעו הנאשמים לקחתי בחשבון את כל הנתונים שלהלן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הנזק שנגרם לציבור משימוש בקרקע חקלאית למטרות מסחריות והערך החברתי המוגן בדבר שמירה על איכות הסביבה ואיכות החיים אשר נפגעו עקב ביצוע העבירה 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44">
        <w:r>
          <w:rPr>
            <w:rStyle w:val="Hyperlink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45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46"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על חשיבות ההגנה על קרקע חקלאית מפני שימוש מסחרי ראו דבריו של כבוד השופט ג</w:t>
      </w:r>
      <w:r>
        <w:rPr>
          <w:rtl w:val="true"/>
        </w:rPr>
        <w:t>'</w:t>
      </w:r>
      <w:r>
        <w:rPr>
          <w:rtl w:val="true"/>
        </w:rPr>
        <w:t xml:space="preserve">ובראן </w:t>
      </w:r>
      <w:hyperlink r:id="rId4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2330/09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נוסטרדמוס מסעדות 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הועדה המקומית לתכנון ולבניה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 בנבו</w:t>
      </w:r>
      <w:r>
        <w:rPr>
          <w:rtl w:val="true"/>
        </w:rPr>
        <w:t xml:space="preserve">] </w:t>
      </w:r>
      <w:r>
        <w:rPr>
          <w:rtl w:val="true"/>
        </w:rPr>
        <w:t xml:space="preserve">ניתן ביום </w:t>
      </w:r>
      <w:r>
        <w:rPr/>
        <w:t>9.6.2009</w:t>
      </w:r>
      <w:r>
        <w:rPr>
          <w:rtl w:val="true"/>
        </w:rPr>
        <w:t xml:space="preserve">, </w:t>
      </w:r>
      <w:r>
        <w:rPr>
          <w:rtl w:val="true"/>
        </w:rPr>
        <w:t xml:space="preserve">פסקה אחרונה להחלטה </w:t>
      </w:r>
      <w:r>
        <w:rPr>
          <w:rtl w:val="true"/>
        </w:rPr>
        <w:t xml:space="preserve">; </w:t>
      </w:r>
      <w:r>
        <w:rPr>
          <w:rtl w:val="true"/>
        </w:rPr>
        <w:t>על תפקידם של דיני התכנון והבניה בשמירה על הטבע</w:t>
      </w:r>
      <w:r>
        <w:rPr>
          <w:rtl w:val="true"/>
        </w:rPr>
        <w:t xml:space="preserve">, </w:t>
      </w:r>
      <w:r>
        <w:rPr>
          <w:rtl w:val="true"/>
        </w:rPr>
        <w:t xml:space="preserve">איכות הסביבה ואיכות החיים המסופקת לתושבים ראו </w:t>
      </w:r>
      <w:hyperlink r:id="rId49">
        <w:r>
          <w:rPr>
            <w:rStyle w:val="Hyperlink"/>
            <w:rtl w:val="true"/>
          </w:rPr>
          <w:t>עע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מ </w:t>
        </w:r>
        <w:r>
          <w:rPr>
            <w:rStyle w:val="Hyperlink"/>
          </w:rPr>
          <w:t>10277/06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חברת פנינת אילת 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הוועדה המחוזית לתכנון ובניה מחוז הדרום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 בנבו</w:t>
      </w:r>
      <w:r>
        <w:rPr>
          <w:rtl w:val="true"/>
        </w:rPr>
        <w:t xml:space="preserve">], </w:t>
      </w:r>
      <w:r>
        <w:rPr>
          <w:rtl w:val="true"/>
        </w:rPr>
        <w:t xml:space="preserve">ניתן ביום </w:t>
      </w:r>
      <w:r>
        <w:rPr/>
        <w:t>15.9.2010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לפסק דינה של כבוד השופטת ארבל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גודל השטח שבו נעשה השימוש של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ר ואורך התקופה שבה בוצע השימוש של ארבע שנים </w:t>
      </w:r>
      <w:r>
        <w:rPr>
          <w:rtl w:val="true"/>
        </w:rPr>
        <w:t>(</w:t>
      </w:r>
      <w:r>
        <w:rPr>
          <w:rtl w:val="true"/>
        </w:rPr>
        <w:t>לגבי הקביעה שיש לתת משקל למספר המבנים שנעשה בהם שימוש</w:t>
      </w:r>
      <w:r>
        <w:rPr>
          <w:rtl w:val="true"/>
        </w:rPr>
        <w:t xml:space="preserve">, </w:t>
      </w:r>
      <w:r>
        <w:rPr>
          <w:rtl w:val="true"/>
        </w:rPr>
        <w:t xml:space="preserve">שטחם ואורך התקופה שבה נמשך השימוש בעת מתן גזר הדין ראו </w:t>
      </w:r>
      <w:hyperlink r:id="rId5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8701/08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מלכה וונש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הוועדה המקומית לתכנון ובניה – לודים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 בנבו</w:t>
      </w:r>
      <w:r>
        <w:rPr>
          <w:rtl w:val="true"/>
        </w:rPr>
        <w:t xml:space="preserve">] </w:t>
      </w:r>
      <w:r>
        <w:rPr>
          <w:rtl w:val="true"/>
        </w:rPr>
        <w:t xml:space="preserve">ניתן ביום </w:t>
      </w:r>
      <w:r>
        <w:rPr/>
        <w:t>3.6.2009</w:t>
      </w:r>
      <w:r>
        <w:rPr>
          <w:rtl w:val="true"/>
        </w:rPr>
        <w:t xml:space="preserve">, </w:t>
      </w:r>
      <w:r>
        <w:rPr>
          <w:rtl w:val="true"/>
        </w:rPr>
        <w:t>כבוד השופט 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להחלטה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 קובע כי מתחם העונש ההולם לעבירה שבוצעה על ידי הנאשמים היא קנס כספי והתחייבות כספית</w:t>
      </w:r>
      <w:r>
        <w:rPr>
          <w:rtl w:val="true"/>
        </w:rPr>
        <w:t xml:space="preserve">. </w:t>
      </w:r>
      <w:r>
        <w:rPr>
          <w:rtl w:val="true"/>
        </w:rPr>
        <w:t xml:space="preserve">מתחם הקנס ההולם הוא בין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45,000</w:t>
      </w:r>
      <w:r>
        <w:rPr>
          <w:rtl w:val="true"/>
        </w:rPr>
        <w:t xml:space="preserve"> ₪, </w:t>
      </w:r>
      <w:r>
        <w:rPr>
          <w:rtl w:val="true"/>
        </w:rPr>
        <w:t>לכל 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 xml:space="preserve">בעת קביעת העונש </w:t>
      </w:r>
      <w:r>
        <w:rPr>
          <w:rtl w:val="true"/>
        </w:rPr>
        <w:t>"</w:t>
      </w:r>
      <w:r>
        <w:rPr>
          <w:b/>
          <w:b/>
          <w:bCs/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לקחתי בחשבון את השיקולים שלהלן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הודיית הנאשם בכתב האישום וחסכון בזמן שיפוטי יקר</w:t>
      </w:r>
      <w:r>
        <w:rPr>
          <w:rtl w:val="true"/>
        </w:rPr>
        <w:t xml:space="preserve">. </w:t>
      </w:r>
      <w:r>
        <w:rPr>
          <w:rtl w:val="true"/>
        </w:rPr>
        <w:t xml:space="preserve">בסופו של דבר לא נשמעו עדי התביעה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51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52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) ;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הסיבה שהביאה את הנאשמים לביצוע העבירה והיא העובדה שהנאשמים עוסקים בתחום החקלאות וכי רצו להקים מיזם עסקי חקלאי שאילו יצא לפועל היה השימוש כן מותר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5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הענשין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עקרון האחידות בענישה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5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יב</w:t>
        </w:r>
      </w:hyperlink>
      <w:r>
        <w:rPr>
          <w:rtl w:val="true"/>
        </w:rPr>
        <w:t xml:space="preserve"> ל</w:t>
      </w:r>
      <w:hyperlink r:id="rId56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שעניינו </w:t>
      </w:r>
      <w:r>
        <w:rPr>
          <w:rtl w:val="true"/>
        </w:rPr>
        <w:t>"</w:t>
      </w:r>
      <w:r>
        <w:rPr>
          <w:rtl w:val="true"/>
        </w:rPr>
        <w:t>נסיבות נוספות</w:t>
      </w:r>
      <w:r>
        <w:rPr>
          <w:rtl w:val="true"/>
        </w:rPr>
        <w:t xml:space="preserve">" </w:t>
      </w:r>
      <w:r>
        <w:rPr>
          <w:rtl w:val="true"/>
        </w:rPr>
        <w:t>שעל בית המשפט לקחתן בחשבון</w:t>
      </w:r>
      <w:r>
        <w:rPr>
          <w:rtl w:val="true"/>
        </w:rPr>
        <w:t xml:space="preserve">) : </w:t>
      </w:r>
      <w:r>
        <w:rPr>
          <w:rtl w:val="true"/>
        </w:rPr>
        <w:t xml:space="preserve">המאשימה הגיעה להסדר טיעון לגבי נאשמים אחרים באותו תיק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/>
        <w:t>1</w:t>
      </w:r>
      <w:r>
        <w:rPr>
          <w:rtl w:val="true"/>
        </w:rPr>
        <w:tab/>
        <w:t xml:space="preserve"> </w:t>
      </w:r>
      <w:r>
        <w:rPr>
          <w:rtl w:val="true"/>
        </w:rPr>
        <w:t xml:space="preserve">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הודו שעשו שימוש במבנה אחר באותם מקרקעין למטרת חניון לרכבים  </w:t>
      </w:r>
      <w:r>
        <w:rPr>
          <w:rtl w:val="true"/>
        </w:rPr>
        <w:t>(</w:t>
      </w:r>
      <w:r>
        <w:rPr>
          <w:rtl w:val="true"/>
        </w:rPr>
        <w:t>היינו מטרה מסחרית</w:t>
      </w:r>
      <w:r>
        <w:rPr>
          <w:rtl w:val="true"/>
        </w:rPr>
        <w:t xml:space="preserve">). </w:t>
      </w:r>
      <w:r>
        <w:rPr>
          <w:rtl w:val="true"/>
        </w:rPr>
        <w:t xml:space="preserve">על נאשמת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המאשימה הסכימה כי יושת עליה קנס כספי בסך של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 xml:space="preserve">ולנאשמת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קנס בסך של </w:t>
      </w:r>
      <w:r>
        <w:rPr/>
        <w:t>10,000</w:t>
      </w:r>
      <w:r>
        <w:rPr>
          <w:rtl w:val="true"/>
        </w:rPr>
        <w:t xml:space="preserve"> ₪. </w:t>
      </w:r>
      <w:r>
        <w:rPr>
          <w:rtl w:val="true"/>
        </w:rPr>
        <w:t xml:space="preserve">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השתמשו בשטח של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ר והשימוש נמשך לפחות מיום </w:t>
      </w:r>
      <w:r>
        <w:rPr/>
        <w:t>31.8.2006</w:t>
      </w:r>
      <w:r>
        <w:rPr>
          <w:rtl w:val="true"/>
        </w:rPr>
        <w:t xml:space="preserve">. </w:t>
      </w:r>
      <w:r>
        <w:rPr>
          <w:rtl w:val="true"/>
        </w:rPr>
        <w:t xml:space="preserve">גזר הדין ניתן ביום </w:t>
      </w:r>
      <w:r>
        <w:rPr/>
        <w:t>11.4.2011</w:t>
      </w:r>
      <w:r>
        <w:rPr>
          <w:rtl w:val="true"/>
        </w:rPr>
        <w:t xml:space="preserve">, </w:t>
      </w:r>
      <w:r>
        <w:rPr>
          <w:rtl w:val="true"/>
        </w:rPr>
        <w:t xml:space="preserve">ואשר לפיו כיבדתי את ההסדר וכל אחד מהנאשמים הוטלה התחייבות כספית בסך של </w:t>
      </w:r>
      <w:r>
        <w:rPr/>
        <w:t>20,000</w:t>
      </w:r>
      <w:r>
        <w:rPr>
          <w:rtl w:val="true"/>
        </w:rPr>
        <w:t xml:space="preserve"> ₪.  </w:t>
      </w:r>
      <w:r>
        <w:rPr>
          <w:rtl w:val="true"/>
        </w:rPr>
        <w:t>מבין השיקולים לקולא שהובילו את המאשימה להסכים הסדר הנ</w:t>
      </w:r>
      <w:r>
        <w:rPr>
          <w:rtl w:val="true"/>
        </w:rPr>
        <w:t>"</w:t>
      </w:r>
      <w:r>
        <w:rPr>
          <w:rtl w:val="true"/>
        </w:rPr>
        <w:t xml:space="preserve">ל היו העובדה שהחנייה האמורה שימשה גם משתמשים נוספים ולא היתה בשימוש בלעדי של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ובנוסף לנאשמים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היו חובות בהוצאה לפועל בהיקף של כ</w:t>
      </w:r>
      <w:r>
        <w:rPr>
          <w:rtl w:val="true"/>
        </w:rPr>
        <w:t xml:space="preserve">- </w:t>
      </w:r>
      <w:r>
        <w:rPr/>
        <w:t>1.7</w:t>
      </w:r>
      <w:r>
        <w:rPr>
          <w:rtl w:val="true"/>
        </w:rPr>
        <w:t xml:space="preserve"> </w:t>
      </w:r>
      <w:r>
        <w:rPr>
          <w:rtl w:val="true"/>
        </w:rPr>
        <w:t xml:space="preserve">מיליון ₪ והושתו עליהם קנסות בסך של </w:t>
      </w:r>
      <w:r>
        <w:rPr/>
        <w:t>200,000</w:t>
      </w:r>
      <w:r>
        <w:rPr>
          <w:rtl w:val="true"/>
        </w:rPr>
        <w:t xml:space="preserve"> ₪.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השימוש כבר הופסק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/>
        <w:t>2</w:t>
      </w:r>
      <w:r>
        <w:rPr>
          <w:rtl w:val="true"/>
        </w:rPr>
        <w:tab/>
      </w:r>
      <w:r>
        <w:rPr>
          <w:rtl w:val="true"/>
        </w:rPr>
        <w:t xml:space="preserve">נאשמים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הודו ביום </w:t>
      </w:r>
      <w:r>
        <w:rPr/>
        <w:t>19.9.2012</w:t>
      </w:r>
      <w:r>
        <w:rPr>
          <w:rtl w:val="true"/>
        </w:rPr>
        <w:t xml:space="preserve"> </w:t>
      </w:r>
      <w:r>
        <w:rPr>
          <w:rtl w:val="true"/>
        </w:rPr>
        <w:t>במסגרת הסדר טיעון בכתב האישום והורשעו</w:t>
      </w:r>
      <w:r>
        <w:rPr>
          <w:rtl w:val="true"/>
        </w:rPr>
        <w:t xml:space="preserve">. </w:t>
      </w:r>
      <w:r>
        <w:rPr>
          <w:rtl w:val="true"/>
        </w:rPr>
        <w:t xml:space="preserve">הטיעונים לעונש נדחו ליום </w:t>
      </w:r>
      <w:r>
        <w:rPr/>
        <w:t>2.12.2012</w:t>
      </w:r>
      <w:r>
        <w:rPr>
          <w:rtl w:val="true"/>
        </w:rPr>
        <w:t xml:space="preserve">. </w:t>
      </w:r>
      <w:r>
        <w:rPr>
          <w:rtl w:val="true"/>
        </w:rPr>
        <w:t xml:space="preserve">הצדדים הסכימו שהמאשימה תבקש קנס בסך כולל של </w:t>
      </w:r>
      <w:r>
        <w:rPr/>
        <w:t>50,000</w:t>
      </w:r>
      <w:r>
        <w:rPr>
          <w:rtl w:val="true"/>
        </w:rPr>
        <w:t xml:space="preserve"> ₪ </w:t>
      </w:r>
      <w:r>
        <w:rPr>
          <w:rtl w:val="true"/>
        </w:rPr>
        <w:t>עבור שני הנאשמים</w:t>
      </w:r>
      <w:r>
        <w:rPr>
          <w:rtl w:val="true"/>
        </w:rPr>
        <w:t xml:space="preserve">, </w:t>
      </w:r>
      <w:r>
        <w:rPr>
          <w:rtl w:val="true"/>
        </w:rPr>
        <w:t>בעוד שהנאשמים יטענו באופן פתוח לגבי גובה הקנס</w:t>
      </w:r>
      <w:r>
        <w:rPr>
          <w:rtl w:val="true"/>
        </w:rPr>
        <w:t xml:space="preserve">. </w:t>
      </w:r>
      <w:r>
        <w:rPr>
          <w:rtl w:val="true"/>
        </w:rPr>
        <w:t>וכן סוכם על הטלת התחייבות כספית לפי שיקול דעת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ובנוסף כי המקרקעין יפונו על ידי הנאשמים תוך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נאשמת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למעשה עושה שימוש בקומה העליונה של המבנה שבו משתמשים נאשמים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בשטח דומה של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ר וזאת החל מיום </w:t>
      </w:r>
      <w:r>
        <w:rPr/>
        <w:t>6.7.2009</w:t>
      </w:r>
      <w:r>
        <w:rPr>
          <w:rtl w:val="true"/>
        </w:rPr>
        <w:t xml:space="preserve"> </w:t>
      </w:r>
      <w:r>
        <w:rPr>
          <w:rtl w:val="true"/>
        </w:rPr>
        <w:t>ועד 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 xml:space="preserve">לאור כל האמור לעיל הנני משית על הנאשמים את העונשים הבאים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נאשמת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תשלם קנס בסך של </w:t>
      </w:r>
      <w:r>
        <w:rPr/>
        <w:t>20,000</w:t>
      </w:r>
      <w:r>
        <w:rPr>
          <w:rtl w:val="true"/>
        </w:rPr>
        <w:t xml:space="preserve"> ₪,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תשלומים חודשיים שווים ורצופים</w:t>
      </w:r>
      <w:r>
        <w:rPr>
          <w:rtl w:val="true"/>
        </w:rPr>
        <w:t xml:space="preserve">, </w:t>
      </w:r>
      <w:r>
        <w:rPr>
          <w:rtl w:val="true"/>
        </w:rPr>
        <w:t xml:space="preserve">כאשר הראשון שבהם עד ליום </w:t>
      </w:r>
      <w:r>
        <w:rPr/>
        <w:t>1.12.2012</w:t>
      </w:r>
      <w:r>
        <w:rPr>
          <w:rtl w:val="true"/>
        </w:rPr>
        <w:t xml:space="preserve"> </w:t>
      </w:r>
      <w:r>
        <w:rPr>
          <w:rtl w:val="true"/>
        </w:rPr>
        <w:t>והיתרה 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לכל חודש שלאחריו 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ישלם קנס בסך של </w:t>
      </w:r>
      <w:r>
        <w:rPr/>
        <w:t>10,000</w:t>
      </w:r>
      <w:r>
        <w:rPr>
          <w:rtl w:val="true"/>
        </w:rPr>
        <w:t xml:space="preserve"> ₪, </w:t>
      </w:r>
      <w:r>
        <w:rPr>
          <w:rtl w:val="true"/>
        </w:rPr>
        <w:t xml:space="preserve">או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תשלומים חודשיים שווים ורצופים</w:t>
      </w:r>
      <w:r>
        <w:rPr>
          <w:rtl w:val="true"/>
        </w:rPr>
        <w:t xml:space="preserve">, </w:t>
      </w:r>
      <w:r>
        <w:rPr>
          <w:rtl w:val="true"/>
        </w:rPr>
        <w:t xml:space="preserve">כאשר הראשון שבהם עד ליום </w:t>
      </w:r>
      <w:r>
        <w:rPr/>
        <w:t>1.12.2012</w:t>
      </w:r>
      <w:r>
        <w:rPr>
          <w:rtl w:val="true"/>
        </w:rPr>
        <w:t xml:space="preserve">, </w:t>
      </w:r>
      <w:r>
        <w:rPr>
          <w:rtl w:val="true"/>
        </w:rPr>
        <w:t>והיתרה 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 חודש שלאחריו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כל אחד מהנאשמים יחתום על התחייבות כספית בסך של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>להימנע מביצוע עבירה שבה הורשע</w:t>
      </w:r>
      <w:r>
        <w:rPr>
          <w:rtl w:val="true"/>
        </w:rPr>
        <w:t xml:space="preserve">, </w:t>
      </w:r>
      <w:r>
        <w:rPr>
          <w:rtl w:val="true"/>
        </w:rPr>
        <w:t>וזאת למשך שנתיים מהיום</w:t>
      </w:r>
      <w:r>
        <w:rPr>
          <w:rtl w:val="true"/>
        </w:rPr>
        <w:t xml:space="preserve">. </w:t>
      </w:r>
      <w:r>
        <w:rPr>
          <w:rtl w:val="true"/>
        </w:rPr>
        <w:t xml:space="preserve">ההתחייבות הכספית תיחתם תוך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 במזכירות בית המשפט</w:t>
      </w:r>
      <w:r>
        <w:rPr>
          <w:rtl w:val="true"/>
        </w:rPr>
        <w:t xml:space="preserve">.  </w:t>
      </w:r>
      <w:r>
        <w:rPr>
          <w:rtl w:val="true"/>
        </w:rPr>
        <w:t xml:space="preserve">היה ונאשם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לא יחתום אזי ייאסר למשך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ניתן בזאת צו איסור שימוש במבנה נשוא כתב האישום שהנאשמים עשו בו שימוש</w:t>
      </w:r>
      <w:r>
        <w:rPr>
          <w:rtl w:val="true"/>
        </w:rPr>
        <w:t xml:space="preserve">, </w:t>
      </w:r>
      <w:r>
        <w:rPr>
          <w:rtl w:val="true"/>
        </w:rPr>
        <w:t xml:space="preserve">ואשר ייכנס לתוקפו בתום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מהיום</w:t>
      </w:r>
      <w:r>
        <w:rPr>
          <w:rtl w:val="true"/>
        </w:rPr>
        <w:t xml:space="preserve">. </w:t>
      </w:r>
      <w:bookmarkStart w:id="13" w:name="_GoBack"/>
      <w:bookmarkEnd w:id="13"/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6"/>
          <w:szCs w:val="6"/>
        </w:rPr>
      </w:pPr>
      <w:r>
        <w:rPr>
          <w:rFonts w:cs="FrankRuehl"/>
          <w:sz w:val="6"/>
          <w:szCs w:val="6"/>
          <w:rtl w:val="true"/>
        </w:rPr>
        <w:t>&lt;</w:t>
      </w:r>
      <w:r>
        <w:rPr>
          <w:rFonts w:cs="FrankRuehl"/>
          <w:sz w:val="6"/>
          <w:szCs w:val="6"/>
        </w:rPr>
        <w:t>#4#</w:t>
      </w:r>
      <w:r>
        <w:rPr>
          <w:rFonts w:cs="FrankRuehl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cs="FrankRuehl"/>
          <w:sz w:val="6"/>
          <w:szCs w:val="6"/>
        </w:rPr>
      </w:pPr>
      <w:r>
        <w:rPr>
          <w:rFonts w:cs="FrankRuehl"/>
          <w:sz w:val="6"/>
          <w:szCs w:val="6"/>
          <w:rtl w:val="true"/>
        </w:rPr>
      </w:r>
    </w:p>
    <w:p>
      <w:pPr>
        <w:pStyle w:val="Normal"/>
        <w:ind w:end="0"/>
        <w:jc w:val="end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09/10/2012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הישאם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אבו שחאדה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7"/>
      <w:footerReference w:type="default" r:id="rId5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12881-03-10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פרקליטות המדינה</w:t>
    </w:r>
    <w:r>
      <w:rPr>
        <w:color w:val="000000"/>
        <w:sz w:val="22"/>
        <w:szCs w:val="22"/>
        <w:rtl w:val="true"/>
      </w:rPr>
      <w:t xml:space="preserve">, </w:t>
    </w:r>
    <w:r>
      <w:rPr>
        <w:color w:val="000000"/>
        <w:sz w:val="22"/>
        <w:sz w:val="22"/>
        <w:szCs w:val="22"/>
        <w:rtl w:val="true"/>
      </w:rPr>
      <w:t>מחלקה כללית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טל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יד מצוינות בשירות בע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מ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1073" TargetMode="External"/><Relationship Id="rId3" Type="http://schemas.openxmlformats.org/officeDocument/2006/relationships/hyperlink" Target="http://www.nevo.co.il/law/91073/145" TargetMode="External"/><Relationship Id="rId4" Type="http://schemas.openxmlformats.org/officeDocument/2006/relationships/hyperlink" Target="http://www.nevo.co.il/law/91073/156a" TargetMode="External"/><Relationship Id="rId5" Type="http://schemas.openxmlformats.org/officeDocument/2006/relationships/hyperlink" Target="http://www.nevo.co.il/law/91073/1T5" TargetMode="External"/><Relationship Id="rId6" Type="http://schemas.openxmlformats.org/officeDocument/2006/relationships/hyperlink" Target="http://www.nevo.co.il/law/91073/204.a" TargetMode="External"/><Relationship Id="rId7" Type="http://schemas.openxmlformats.org/officeDocument/2006/relationships/hyperlink" Target="http://www.nevo.co.il/law/91073/204.c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c.a" TargetMode="External"/><Relationship Id="rId10" Type="http://schemas.openxmlformats.org/officeDocument/2006/relationships/hyperlink" Target="http://www.nevo.co.il/law/70301/40i.5" TargetMode="External"/><Relationship Id="rId11" Type="http://schemas.openxmlformats.org/officeDocument/2006/relationships/hyperlink" Target="http://www.nevo.co.il/law/70301/40i.a.3" TargetMode="External"/><Relationship Id="rId12" Type="http://schemas.openxmlformats.org/officeDocument/2006/relationships/hyperlink" Target="http://www.nevo.co.il/law/70301/40i.a.4" TargetMode="External"/><Relationship Id="rId13" Type="http://schemas.openxmlformats.org/officeDocument/2006/relationships/hyperlink" Target="http://www.nevo.co.il/law/70301/40j.c" TargetMode="External"/><Relationship Id="rId14" Type="http://schemas.openxmlformats.org/officeDocument/2006/relationships/hyperlink" Target="http://www.nevo.co.il/law/70301/40j.d" TargetMode="External"/><Relationship Id="rId15" Type="http://schemas.openxmlformats.org/officeDocument/2006/relationships/hyperlink" Target="http://www.nevo.co.il/law/70301/61.c" TargetMode="External"/><Relationship Id="rId16" Type="http://schemas.openxmlformats.org/officeDocument/2006/relationships/hyperlink" Target="http://www.nevo.co.il/law/70301/63.a" TargetMode="External"/><Relationship Id="rId17" Type="http://schemas.openxmlformats.org/officeDocument/2006/relationships/hyperlink" Target="http://www.nevo.co.il/law/70301/40ja.4" TargetMode="External"/><Relationship Id="rId18" Type="http://schemas.openxmlformats.org/officeDocument/2006/relationships/hyperlink" Target="http://www.nevo.co.il/law/70301/40ja.6" TargetMode="External"/><Relationship Id="rId19" Type="http://schemas.openxmlformats.org/officeDocument/2006/relationships/hyperlink" Target="http://www.nevo.co.il/law/70301/40jb" TargetMode="External"/><Relationship Id="rId20" Type="http://schemas.openxmlformats.org/officeDocument/2006/relationships/hyperlink" Target="http://www.nevo.co.il/law/91073/145" TargetMode="External"/><Relationship Id="rId21" Type="http://schemas.openxmlformats.org/officeDocument/2006/relationships/hyperlink" Target="http://www.nevo.co.il/law/91073/156a" TargetMode="External"/><Relationship Id="rId22" Type="http://schemas.openxmlformats.org/officeDocument/2006/relationships/hyperlink" Target="http://www.nevo.co.il/law/91073/204.a" TargetMode="External"/><Relationship Id="rId23" Type="http://schemas.openxmlformats.org/officeDocument/2006/relationships/hyperlink" Target="http://www.nevo.co.il/law/91073/204.c" TargetMode="External"/><Relationship Id="rId24" Type="http://schemas.openxmlformats.org/officeDocument/2006/relationships/hyperlink" Target="http://www.nevo.co.il/law/91073" TargetMode="External"/><Relationship Id="rId25" Type="http://schemas.openxmlformats.org/officeDocument/2006/relationships/hyperlink" Target="http://www.nevo.co.il/law/91073/1T5" TargetMode="External"/><Relationship Id="rId26" Type="http://schemas.openxmlformats.org/officeDocument/2006/relationships/hyperlink" Target="http://www.nevo.co.il/law/91073" TargetMode="External"/><Relationship Id="rId27" Type="http://schemas.openxmlformats.org/officeDocument/2006/relationships/hyperlink" Target="http://www.nevo.co.il/case/5671007" TargetMode="External"/><Relationship Id="rId28" Type="http://schemas.openxmlformats.org/officeDocument/2006/relationships/hyperlink" Target="http://www.nevo.co.il/case/6142447" TargetMode="External"/><Relationship Id="rId29" Type="http://schemas.openxmlformats.org/officeDocument/2006/relationships/hyperlink" Target="http://www.nevo.co.il/law/91073/204.a" TargetMode="External"/><Relationship Id="rId30" Type="http://schemas.openxmlformats.org/officeDocument/2006/relationships/hyperlink" Target="http://www.nevo.co.il/law/91073" TargetMode="External"/><Relationship Id="rId31" Type="http://schemas.openxmlformats.org/officeDocument/2006/relationships/hyperlink" Target="http://www.nevo.co.il/law/70301/61.c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63.a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5970897" TargetMode="External"/><Relationship Id="rId36" Type="http://schemas.openxmlformats.org/officeDocument/2006/relationships/hyperlink" Target="http://www.nevo.co.il/law/70301/63.a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91073" TargetMode="External"/><Relationship Id="rId39" Type="http://schemas.openxmlformats.org/officeDocument/2006/relationships/hyperlink" Target="http://www.nevo.co.il/law/70301/63.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0j.c" TargetMode="External"/><Relationship Id="rId42" Type="http://schemas.openxmlformats.org/officeDocument/2006/relationships/hyperlink" Target="http://www.nevo.co.il/law/70301/40j.d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40c.a" TargetMode="External"/><Relationship Id="rId45" Type="http://schemas.openxmlformats.org/officeDocument/2006/relationships/hyperlink" Target="http://www.nevo.co.il/law/70301/40i.a.3" TargetMode="External"/><Relationship Id="rId46" Type="http://schemas.openxmlformats.org/officeDocument/2006/relationships/hyperlink" Target="http://www.nevo.co.il/law/70301/40i.a.4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5826359" TargetMode="External"/><Relationship Id="rId49" Type="http://schemas.openxmlformats.org/officeDocument/2006/relationships/hyperlink" Target="http://www.nevo.co.il/case/6167664" TargetMode="External"/><Relationship Id="rId50" Type="http://schemas.openxmlformats.org/officeDocument/2006/relationships/hyperlink" Target="http://www.nevo.co.il/case/6135787" TargetMode="External"/><Relationship Id="rId51" Type="http://schemas.openxmlformats.org/officeDocument/2006/relationships/hyperlink" Target="http://www.nevo.co.il/law/70301/40ja.4" TargetMode="External"/><Relationship Id="rId52" Type="http://schemas.openxmlformats.org/officeDocument/2006/relationships/hyperlink" Target="http://www.nevo.co.il/law/70301/40ja.6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40i.5" TargetMode="External"/><Relationship Id="rId55" Type="http://schemas.openxmlformats.org/officeDocument/2006/relationships/hyperlink" Target="http://www.nevo.co.il/law/70301/40jb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2016-04-04T10:53:00Z</dcterms:created>
  <dc:creator> </dc:creator>
  <dc:description/>
  <cp:keywords/>
  <dc:language>en-IL</dc:language>
  <cp:lastModifiedBy>miri</cp:lastModifiedBy>
  <dcterms:modified xsi:type="dcterms:W3CDTF">2016-04-04T10:53:00Z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המדינה, מחלקה כללית</vt:lpwstr>
  </property>
  <property fmtid="{D5CDD505-2E9C-101B-9397-08002B2CF9AE}" pid="3" name="APPELLEE">
    <vt:lpwstr>טל - יד מצוינות בשירות בע"מ;נורית אילנה דדון;דר' חציל ב.ר.נ. בע"מ;נתן ברנהולץ;א.נ. אופק מערכות והנדסה בע"מ;אילן אופק</vt:lpwstr>
  </property>
  <property fmtid="{D5CDD505-2E9C-101B-9397-08002B2CF9AE}" pid="4" name="CASESLISTTMP1">
    <vt:lpwstr>5671007;5970897;5826359;6167664;6135787</vt:lpwstr>
  </property>
  <property fmtid="{D5CDD505-2E9C-101B-9397-08002B2CF9AE}" pid="5" name="CITY">
    <vt:lpwstr>רמ'</vt:lpwstr>
  </property>
  <property fmtid="{D5CDD505-2E9C-101B-9397-08002B2CF9AE}" pid="6" name="DATE">
    <vt:lpwstr>20121009</vt:lpwstr>
  </property>
  <property fmtid="{D5CDD505-2E9C-101B-9397-08002B2CF9AE}" pid="7" name="ISABSTRACT">
    <vt:lpwstr>Y</vt:lpwstr>
  </property>
  <property fmtid="{D5CDD505-2E9C-101B-9397-08002B2CF9AE}" pid="8" name="JUDGE">
    <vt:lpwstr>הישאם אבו שחאדה</vt:lpwstr>
  </property>
  <property fmtid="{D5CDD505-2E9C-101B-9397-08002B2CF9AE}" pid="9" name="LAWLISTTMP1">
    <vt:lpwstr>91073/145;156a;204.a:2;204.c;1T5</vt:lpwstr>
  </property>
  <property fmtid="{D5CDD505-2E9C-101B-9397-08002B2CF9AE}" pid="10" name="LAWLISTTMP2">
    <vt:lpwstr>70301/061.c;063.a:3;040j.c;040j.d;040c.a;040i.a.3;040i.a.4;40ja.4;40ja.6;040i.5;40jb</vt:lpwstr>
  </property>
  <property fmtid="{D5CDD505-2E9C-101B-9397-08002B2CF9AE}" pid="11" name="NEWPARTA">
    <vt:lpwstr>12881</vt:lpwstr>
  </property>
  <property fmtid="{D5CDD505-2E9C-101B-9397-08002B2CF9AE}" pid="12" name="NEWPARTB">
    <vt:lpwstr>03</vt:lpwstr>
  </property>
  <property fmtid="{D5CDD505-2E9C-101B-9397-08002B2CF9AE}" pid="13" name="NEWPARTC">
    <vt:lpwstr>10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380020121009</vt:lpwstr>
  </property>
  <property fmtid="{D5CDD505-2E9C-101B-9397-08002B2CF9AE}" pid="18" name="TYPE_N_DATE">
    <vt:lpwstr>38020121009</vt:lpwstr>
  </property>
  <property fmtid="{D5CDD505-2E9C-101B-9397-08002B2CF9AE}" pid="19" name="WORDNUMPAGES">
    <vt:lpwstr>6</vt:lpwstr>
  </property>
</Properties>
</file>