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8"/>
        <w:gridCol w:w="632"/>
        <w:gridCol w:w="64"/>
        <w:gridCol w:w="2336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0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1295-09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כפר סבא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קדוש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96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36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כפר סבא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אליאור קדוש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b/>
          <w:b/>
          <w:bCs/>
          <w:rtl w:val="true"/>
        </w:rPr>
        <w:t xml:space="preserve">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תמיר גינדין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 לבנה בן שבת מטעם הסנגוריה הציבורית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הנאשם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בעצמו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נציגת שירות המבחן 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רותי עוז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5" w:name="PsakDin"/>
      <w:bookmarkStart w:id="6" w:name="ABSTRACT_START"/>
      <w:bookmarkEnd w:id="5"/>
      <w:bookmarkEnd w:id="6"/>
      <w:r>
        <w:rPr>
          <w:rtl w:val="true"/>
        </w:rPr>
        <w:t xml:space="preserve">הנאשם הורשע על פי הודייתו בעבירה של התפרצות למקום מגורים בניגוד לסעיף </w:t>
      </w:r>
      <w:r>
        <w:rPr/>
        <w:t>406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וכן בעבירה של גניבה בניגוד לסעיף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 xml:space="preserve">לחוק העונשין באירוע מיום </w:t>
      </w:r>
      <w:r>
        <w:rPr/>
        <w:t>30.9.08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נכנס לבית מגורים בכפר סבא</w:t>
      </w:r>
      <w:r>
        <w:rPr>
          <w:rtl w:val="true"/>
        </w:rPr>
        <w:t xml:space="preserve">, </w:t>
      </w:r>
      <w:r>
        <w:rPr>
          <w:rtl w:val="true"/>
        </w:rPr>
        <w:t>תוך שהוא נוטל מהמקום טלויזיה פלזמה</w:t>
      </w:r>
      <w:r>
        <w:rPr>
          <w:rtl w:val="true"/>
        </w:rPr>
        <w:t xml:space="preserve">, </w:t>
      </w:r>
      <w:r>
        <w:rPr>
          <w:rtl w:val="true"/>
        </w:rPr>
        <w:t>מסך טלויזיה פיוניר</w:t>
      </w:r>
      <w:r>
        <w:rPr>
          <w:rtl w:val="true"/>
        </w:rPr>
        <w:t xml:space="preserve">, </w:t>
      </w:r>
      <w:r>
        <w:rPr>
          <w:rtl w:val="true"/>
        </w:rPr>
        <w:t>מחשב נייד</w:t>
      </w:r>
      <w:r>
        <w:rPr>
          <w:rtl w:val="true"/>
        </w:rPr>
        <w:t xml:space="preserve">, </w:t>
      </w:r>
      <w:r>
        <w:rPr>
          <w:rtl w:val="true"/>
        </w:rPr>
        <w:t>מחשב כף יד</w:t>
      </w:r>
      <w:r>
        <w:rPr>
          <w:rtl w:val="true"/>
        </w:rPr>
        <w:t xml:space="preserve">, </w:t>
      </w:r>
      <w:r>
        <w:rPr>
          <w:rtl w:val="true"/>
        </w:rPr>
        <w:t>שתי מצלמות</w:t>
      </w:r>
      <w:r>
        <w:rPr>
          <w:rtl w:val="true"/>
        </w:rPr>
        <w:t xml:space="preserve">, </w:t>
      </w:r>
      <w:r>
        <w:rPr>
          <w:rtl w:val="true"/>
        </w:rPr>
        <w:t>שעונים</w:t>
      </w:r>
      <w:r>
        <w:rPr>
          <w:rtl w:val="true"/>
        </w:rPr>
        <w:t xml:space="preserve">, </w:t>
      </w:r>
      <w:r>
        <w:rPr>
          <w:rtl w:val="true"/>
        </w:rPr>
        <w:t>תכשיטים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סך של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דרכונים וכן ת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הגיעו לידי הסדר טיעון אשר יש בו כדי לשקף את הענישה הראויה והדברים אף באים לידי ביטוי בחלק מהתסקירים אשר הוגשו בתיק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בהזדמנות הראשונה וחסך מזמנו של ביהמ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–</w:t>
      </w:r>
      <w:r>
        <w:rPr>
          <w:rtl w:val="true"/>
        </w:rPr>
        <w:t xml:space="preserve"> שיקול זה אני שוקל 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מאסר בפועל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אשר ירוצו בדרך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הממונה על עבודות השירות בהודעתו מיום </w:t>
      </w:r>
      <w:r>
        <w:rPr/>
        <w:t>30.9.09</w:t>
      </w:r>
      <w:r>
        <w:rPr>
          <w:rtl w:val="true"/>
        </w:rPr>
        <w:t xml:space="preserve"> </w:t>
      </w:r>
      <w:r>
        <w:rPr>
          <w:rtl w:val="true"/>
        </w:rPr>
        <w:t>קבע כי הנאשם כשיר לביצוע עבודות שירות אלא שהמועד שנקבע היה ל</w:t>
      </w:r>
      <w:r>
        <w:rPr>
          <w:rtl w:val="true"/>
        </w:rPr>
        <w:t xml:space="preserve">- </w:t>
      </w:r>
      <w:r>
        <w:rPr/>
        <w:t>29.12.09</w:t>
      </w:r>
      <w:r>
        <w:rPr>
          <w:rtl w:val="true"/>
        </w:rPr>
        <w:t xml:space="preserve">, </w:t>
      </w:r>
      <w:r>
        <w:rPr>
          <w:rtl w:val="true"/>
        </w:rPr>
        <w:t>ומועד זה אינו אקטואלי כיום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על הנאשם לפנות לממונה בתוך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ימים מהיום </w:t>
      </w:r>
      <w:r>
        <w:rPr>
          <w:rtl w:val="true"/>
        </w:rPr>
        <w:t>(</w:t>
      </w:r>
      <w:r>
        <w:rPr>
          <w:rtl w:val="true"/>
        </w:rPr>
        <w:t xml:space="preserve">מר משה שמחי </w:t>
      </w:r>
      <w:r>
        <w:rPr/>
        <w:t>050-6279099</w:t>
      </w:r>
      <w:r>
        <w:rPr>
          <w:rtl w:val="true"/>
        </w:rPr>
        <w:t xml:space="preserve">) </w:t>
      </w:r>
      <w:r>
        <w:rPr>
          <w:rtl w:val="true"/>
        </w:rPr>
        <w:t>ולסכם עימו על מועד תחילת ריצוי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הממונה יודיע לביהמ</w:t>
      </w:r>
      <w:r>
        <w:rPr>
          <w:rtl w:val="true"/>
        </w:rPr>
        <w:t>"</w:t>
      </w:r>
      <w:r>
        <w:rPr>
          <w:rtl w:val="true"/>
        </w:rPr>
        <w:t xml:space="preserve">ש בתוך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, </w:t>
      </w:r>
      <w:r>
        <w:rPr>
          <w:rtl w:val="true"/>
        </w:rPr>
        <w:t>מהו המועד בו נקבע לתחילת העבודות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מאסר על תנאי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שלא יעבור עבירת רכוש מסוג 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שלא יעבור עבירת רכוש מסוג 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500</w:t>
      </w:r>
      <w:r>
        <w:rPr>
          <w:rtl w:val="true"/>
        </w:rPr>
        <w:t xml:space="preserve"> ₪  </w:t>
      </w:r>
      <w:r>
        <w:rPr>
          <w:rtl w:val="true"/>
        </w:rPr>
        <w:t xml:space="preserve">או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הקנס ישולם עד ולא יאוחר מיום </w:t>
      </w:r>
      <w:r>
        <w:rPr/>
        <w:t>30.6.10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פיצוי למתלונן </w:t>
      </w:r>
      <w:r>
        <w:rPr>
          <w:rtl w:val="true"/>
        </w:rPr>
        <w:t>–</w:t>
      </w:r>
      <w:r>
        <w:rPr>
          <w:rtl w:val="true"/>
        </w:rPr>
        <w:t xml:space="preserve"> עד תביעה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בסך של </w:t>
      </w:r>
      <w:r>
        <w:rPr/>
        <w:t>1000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התשלום יעשה באמצעות גזברות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התשלום יבוצע עד ולא יאוחר מיום </w:t>
      </w:r>
      <w:r>
        <w:rPr/>
        <w:t>15.8.10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 ד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אהרן ד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גולדס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נשיאה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שרפי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/Users/liorb/Downloads/study2025-p2/SH-09-1295-508.doc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1295-09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כפר סבא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אליאור קדוש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2010-06-02T02:37:00Z</dcterms:created>
  <dc:creator> </dc:creator>
  <dc:description/>
  <cp:keywords/>
  <dc:language>en-IL</dc:language>
  <cp:lastModifiedBy>einat</cp:lastModifiedBy>
  <dcterms:modified xsi:type="dcterms:W3CDTF">2010-06-02T11:53:00Z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כפר סבא</vt:lpwstr>
  </property>
  <property fmtid="{D5CDD505-2E9C-101B-9397-08002B2CF9AE}" pid="3" name="APPELLEE">
    <vt:lpwstr>אליאור קדוש</vt:lpwstr>
  </property>
  <property fmtid="{D5CDD505-2E9C-101B-9397-08002B2CF9AE}" pid="4" name="CITY">
    <vt:lpwstr>כ"ס</vt:lpwstr>
  </property>
  <property fmtid="{D5CDD505-2E9C-101B-9397-08002B2CF9AE}" pid="5" name="DATE">
    <vt:lpwstr>20100601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אהרן ד. גולדס</vt:lpwstr>
  </property>
  <property fmtid="{D5CDD505-2E9C-101B-9397-08002B2CF9AE}" pid="9" name="LAWYER">
    <vt:lpwstr>תמיר גינדין;לבנה בן שבת 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1295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1295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09 1295 508 htm</vt:lpwstr>
  </property>
  <property fmtid="{D5CDD505-2E9C-101B-9397-08002B2CF9AE}" pid="34" name="TYPE">
    <vt:lpwstr>3</vt:lpwstr>
  </property>
  <property fmtid="{D5CDD505-2E9C-101B-9397-08002B2CF9AE}" pid="35" name="TYPE_ABS_DATE">
    <vt:lpwstr>380020100601</vt:lpwstr>
  </property>
  <property fmtid="{D5CDD505-2E9C-101B-9397-08002B2CF9AE}" pid="36" name="TYPE_N_DATE">
    <vt:lpwstr>38020100601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