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13154-01-18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תיתי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סאלם תיתי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סולטאן תיתי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חאג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FFFFFF"/>
          <w:sz w:val="2"/>
          <w:sz w:val="2"/>
          <w:szCs w:val="2"/>
          <w:rtl w:val="true"/>
        </w:rPr>
        <w:t xml:space="preserve">חוק ההתיישבות העותמנית  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>[</w:t>
      </w:r>
      <w:r>
        <w:rPr>
          <w:rFonts w:ascii="FrankRuehl" w:hAnsi="FrankRuehl" w:cs="FrankRuehl"/>
          <w:color w:val="FFFFFF"/>
          <w:sz w:val="2"/>
          <w:sz w:val="2"/>
          <w:szCs w:val="2"/>
          <w:rtl w:val="true"/>
        </w:rPr>
        <w:t>נוסח ישן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] </w:t>
      </w:r>
      <w:r>
        <w:rPr>
          <w:rFonts w:cs="FrankRuehl" w:ascii="FrankRuehl" w:hAnsi="FrankRuehl"/>
          <w:color w:val="FFFFFF"/>
          <w:sz w:val="2"/>
          <w:szCs w:val="2"/>
        </w:rPr>
        <w:t>1916</w:t>
      </w:r>
    </w:p>
    <w:p>
      <w:pPr>
        <w:pStyle w:val="Normal"/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bookmarkStart w:id="5" w:name="ABSTRACT_START"/>
      <w:bookmarkEnd w:id="5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>+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פזיזות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ורשלנות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+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שהתגוררו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14.12.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1:50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1:50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פאטמה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bookmarkStart w:id="6" w:name="ABSTRACT_END"/>
      <w:bookmarkEnd w:id="6"/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נזרקו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להקניט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ההתרחשויות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14.12.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12.12.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תסקירי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תוקפנית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פיזיותראפיים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ככתבן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וכלשונן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בהתבוננות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): 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15955-01-16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18.4.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שחרורו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שיופעל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29.6.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4410/16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21.11.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))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  <w:u w:val="single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(..).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ביטלה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וביריוני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;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)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u w:val="single"/>
          <w:rtl w:val="true"/>
        </w:rPr>
        <w:t>עיקר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היחיד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שמשמעותה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ככתבן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וכלשונן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שהפעלתו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ובקצרה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הלימה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11.6.</w:t>
      </w:r>
      <w:r>
        <w:rPr/>
        <w:t>20</w:t>
      </w:r>
      <w:r>
        <w:rPr/>
        <w:t>13</w:t>
      </w:r>
      <w:r>
        <w:rPr>
          <w:rtl w:val="true"/>
        </w:rPr>
        <w:t xml:space="preserve">),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5.6.</w:t>
      </w:r>
      <w:r>
        <w:rPr/>
        <w:t>20</w:t>
      </w:r>
      <w:r>
        <w:rPr/>
        <w:t>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להשלכתו</w:t>
      </w:r>
      <w:r>
        <w:rPr>
          <w:rtl w:val="true"/>
        </w:rPr>
        <w:t xml:space="preserve">)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.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. </w:t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23.3.</w:t>
      </w:r>
      <w:r>
        <w:rPr/>
        <w:t>20</w:t>
      </w:r>
      <w:r>
        <w:rPr/>
        <w:t>13</w:t>
      </w:r>
      <w:r>
        <w:rPr>
          <w:rtl w:val="true"/>
        </w:rPr>
        <w:t>):</w:t>
      </w:r>
      <w:r>
        <w:rPr>
          <w:b/>
          <w:bCs/>
          <w:rtl w:val="true"/>
        </w:rPr>
        <w:t xml:space="preserve"> "...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הפעלתו</w:t>
      </w:r>
      <w:r>
        <w:rPr>
          <w:b/>
          <w:bCs/>
          <w:rtl w:val="true"/>
        </w:rPr>
        <w:t xml:space="preserve">' 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7124/06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דרורי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9/5/</w:t>
      </w:r>
      <w:r>
        <w:rPr/>
        <w:t>20</w:t>
      </w:r>
      <w:r>
        <w:rPr/>
        <w:t>07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רגיל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טשטושו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והכנסתו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דירוגו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איכותית</w:t>
      </w:r>
      <w:r>
        <w:rPr>
          <w:rtl w:val="true"/>
        </w:rPr>
        <w:t xml:space="preserve">" 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8845/15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17.11.16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end="0"/>
        <w:contextualSpacing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31218-10-14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11.2.15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חריגות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40450-09-15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20.1.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12761-11-15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10.5.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hd w:fill="FFFFFF" w:val="clear"/>
        <w:spacing w:lineRule="auto" w:line="360"/>
        <w:ind w:hanging="72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19087-06-13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פואז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20.11.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לאור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הנהוגה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ברובן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בס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15955-01-16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18.4.</w:t>
      </w:r>
      <w:r>
        <w:rPr/>
        <w:t>20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".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באורח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7166/15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24.02.2016</w:t>
      </w:r>
      <w:r>
        <w:rPr>
          <w:rFonts w:cs="Calibri" w:ascii="Calibri" w:hAnsi="Calibri"/>
          <w:rtl w:val="true"/>
        </w:rPr>
        <w:t xml:space="preserve">),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1894/14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13.1.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308/06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15.5.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06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הגדרת עבירת התנאי כ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עבירת אלימות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הינה הגדרה רחבה הכוללת בתוכה כל עבירה שעניינה איסור על פגיעת גוף באדם</w:t>
      </w: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נכללת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6420/10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סלסנר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23.8.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6352/12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23.9.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4606/16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18.4.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7072-04-18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איאסו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6.5.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כוונו</w:t>
      </w:r>
      <w:r>
        <w:rPr>
          <w:rtl w:val="true"/>
        </w:rPr>
        <w:t xml:space="preserve">" </w:t>
      </w:r>
      <w:r>
        <w:rPr>
          <w:rtl w:val="true"/>
        </w:rPr>
        <w:t>הרימונים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Fonts w:cs="Narkisim"/>
          <w:color w:val="FFFFFF"/>
          <w:sz w:val="2"/>
          <w:szCs w:val="2"/>
        </w:rPr>
        <w:t>9992099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79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4" w:start="379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20.12.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4" w:start="379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15955-01-16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18.4.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4" w:start="379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תרוצנה </w:t>
      </w:r>
      <w:r>
        <w:rPr>
          <w:rFonts w:ascii="Calibri" w:hAnsi="Calibri" w:cs="Calibri"/>
          <w:b/>
          <w:b/>
          <w:bCs/>
          <w:rtl w:val="true"/>
        </w:rPr>
        <w:t>בחפיפה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שבסך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cs="Calibri" w:ascii="Calibri" w:hAnsi="Calibri"/>
          <w:b/>
          <w:bCs/>
        </w:rPr>
        <w:t>20.12.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</w:rPr>
        <w:t>17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4" w:start="379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  <w:tab/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4" w:start="379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</w:p>
    <w:p>
      <w:pPr>
        <w:pStyle w:val="Normal"/>
        <w:spacing w:lineRule="auto" w:line="360"/>
        <w:ind w:hanging="284" w:start="379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379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0"/>
        <w:ind w:hanging="284" w:start="379" w:end="0"/>
        <w:contextualSpacing/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יום </w:t>
      </w:r>
      <w:r>
        <w:rPr>
          <w:rFonts w:cs="Calibri" w:ascii="Calibri" w:hAnsi="Calibri"/>
        </w:rPr>
        <w:t>31.5.2018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19.7.2018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טלפונים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04-6728405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04-6728421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08-9775099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0"/>
        <w:ind w:hanging="472" w:start="567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0"/>
        <w:ind w:hanging="472" w:start="567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עוון</w:t>
      </w:r>
      <w:r>
        <w:rPr>
          <w:rFonts w:cs="Calibri" w:ascii="Calibri" w:hAnsi="Calibri"/>
          <w:b/>
          <w:bCs/>
          <w:rtl w:val="true"/>
        </w:rPr>
        <w:t>.</w:t>
        <w:tab/>
      </w:r>
    </w:p>
    <w:p>
      <w:pPr>
        <w:pStyle w:val="Normal"/>
        <w:tabs>
          <w:tab w:val="clear" w:pos="720"/>
          <w:tab w:val="left" w:pos="8164" w:leader="none"/>
        </w:tabs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8164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tabs>
          <w:tab w:val="clear" w:pos="720"/>
          <w:tab w:val="left" w:pos="8164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13154-01-18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סאלם תיתי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  <w:b w:val="false"/>
      <w:bCs w:val="false"/>
      <w:sz w:val="24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b w:val="false"/>
      <w:bCs w:val="false"/>
    </w:rPr>
  </w:style>
  <w:style w:type="character" w:styleId="WW8Num5z1">
    <w:name w:val="WW8Num5z1"/>
    <w:qFormat/>
    <w:rPr>
      <w:rFonts w:cs="Times New Roman"/>
      <w:sz w:val="24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  <w:b w:val="false"/>
      <w:bCs w:val="false"/>
    </w:rPr>
  </w:style>
  <w:style w:type="character" w:styleId="WW8Num9z1">
    <w:name w:val="WW8Num9z1"/>
    <w:qFormat/>
    <w:rPr>
      <w:rFonts w:cs="David"/>
      <w:sz w:val="2"/>
      <w:szCs w:val="24"/>
    </w:rPr>
  </w:style>
  <w:style w:type="character" w:styleId="WW8Num9z2">
    <w:name w:val="WW8Num9z2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David"/>
      <w:b w:val="false"/>
      <w:bCs w:val="false"/>
      <w:color w:val="000000"/>
      <w:sz w:val="24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David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ascii="Symbol" w:hAnsi="Symbol" w:eastAsia="Times New Roman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ascii="Symbol" w:hAnsi="Symbol" w:eastAsia="Times New Roman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David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normal-h">
    <w:name w:val="normal-h"/>
    <w:qFormat/>
    <w:rPr>
      <w:rFonts w:cs="Times New Roman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יסקת רשימה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1">
    <w:name w:val="פיסקת רשימה1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338.3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8.3" TargetMode="External"/><Relationship Id="rId13" Type="http://schemas.openxmlformats.org/officeDocument/2006/relationships/hyperlink" Target="http://www.nevo.co.il/law/70301/192;29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case/20868527" TargetMode="External"/><Relationship Id="rId16" Type="http://schemas.openxmlformats.org/officeDocument/2006/relationships/hyperlink" Target="http://www.nevo.co.il/case/2147492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7667123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10443017" TargetMode="External"/><Relationship Id="rId21" Type="http://schemas.openxmlformats.org/officeDocument/2006/relationships/hyperlink" Target="http://www.nevo.co.il/case/5865581" TargetMode="External"/><Relationship Id="rId22" Type="http://schemas.openxmlformats.org/officeDocument/2006/relationships/hyperlink" Target="http://www.nevo.co.il/case/20817889" TargetMode="External"/><Relationship Id="rId23" Type="http://schemas.openxmlformats.org/officeDocument/2006/relationships/hyperlink" Target="http://www.nevo.co.il/case/18105668" TargetMode="External"/><Relationship Id="rId24" Type="http://schemas.openxmlformats.org/officeDocument/2006/relationships/hyperlink" Target="http://www.nevo.co.il/case/20590970" TargetMode="External"/><Relationship Id="rId25" Type="http://schemas.openxmlformats.org/officeDocument/2006/relationships/hyperlink" Target="http://www.nevo.co.il/case/20705476" TargetMode="External"/><Relationship Id="rId26" Type="http://schemas.openxmlformats.org/officeDocument/2006/relationships/hyperlink" Target="http://www.nevo.co.il/case/7676477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0868527" TargetMode="External"/><Relationship Id="rId30" Type="http://schemas.openxmlformats.org/officeDocument/2006/relationships/hyperlink" Target="http://www.nevo.co.il/case/20995860" TargetMode="External"/><Relationship Id="rId31" Type="http://schemas.openxmlformats.org/officeDocument/2006/relationships/hyperlink" Target="http://www.nevo.co.il/case/19999484" TargetMode="External"/><Relationship Id="rId32" Type="http://schemas.openxmlformats.org/officeDocument/2006/relationships/hyperlink" Target="http://www.nevo.co.il/case/5691883" TargetMode="External"/><Relationship Id="rId33" Type="http://schemas.openxmlformats.org/officeDocument/2006/relationships/hyperlink" Target="http://www.nevo.co.il/case/6065628" TargetMode="External"/><Relationship Id="rId34" Type="http://schemas.openxmlformats.org/officeDocument/2006/relationships/hyperlink" Target="http://www.nevo.co.il/case/5594340" TargetMode="External"/><Relationship Id="rId35" Type="http://schemas.openxmlformats.org/officeDocument/2006/relationships/hyperlink" Target="http://www.nevo.co.il/case/21475180" TargetMode="External"/><Relationship Id="rId36" Type="http://schemas.openxmlformats.org/officeDocument/2006/relationships/hyperlink" Target="http://www.nevo.co.il/case/20868527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2023-06-20T10:53:00Z</dcterms:created>
  <dc:creator>Tali Peled</dc:creator>
  <dc:description/>
  <cp:keywords/>
  <dc:language>en-IL</dc:language>
  <cp:lastModifiedBy>hofit</cp:lastModifiedBy>
  <dcterms:modified xsi:type="dcterms:W3CDTF">2023-06-20T10:53:00Z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סאלם תיתי;סולטאן תיתי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ProcID=133;209&amp;PartA=7072&amp;PartB=04&amp;PartC=18</vt:lpwstr>
  </property>
  <property fmtid="{D5CDD505-2E9C-101B-9397-08002B2CF9AE}" pid="9" name="CASESLISTTMP1">
    <vt:lpwstr>20868527:3;21474928;7667123;6473037;10443017;20817889;18105668;20590970;20705476;7676477;20995860;19999484;5691883;6065628;5594340;21475180</vt:lpwstr>
  </property>
  <property fmtid="{D5CDD505-2E9C-101B-9397-08002B2CF9AE}" pid="10" name="CITY">
    <vt:lpwstr>חי'</vt:lpwstr>
  </property>
  <property fmtid="{D5CDD505-2E9C-101B-9397-08002B2CF9AE}" pid="11" name="DATE">
    <vt:lpwstr>20180612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יחיאל ליפשיץ</vt:lpwstr>
  </property>
  <property fmtid="{D5CDD505-2E9C-101B-9397-08002B2CF9AE}" pid="15" name="LAWLISTTMP1">
    <vt:lpwstr>70301/144.b;029:2;338.3;192;287.a;40ja</vt:lpwstr>
  </property>
  <property fmtid="{D5CDD505-2E9C-101B-9397-08002B2CF9AE}" pid="16" name="LAWYER">
    <vt:lpwstr>עמאד אל חאג'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13154</vt:lpwstr>
  </property>
  <property fmtid="{D5CDD505-2E9C-101B-9397-08002B2CF9AE}" pid="23" name="NEWPARTB">
    <vt:lpwstr>01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390020180612</vt:lpwstr>
  </property>
  <property fmtid="{D5CDD505-2E9C-101B-9397-08002B2CF9AE}" pid="35" name="TYPE_N_DATE">
    <vt:lpwstr>39020180612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