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13281-07-13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פלאח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אוקטובר </w:t>
            </w:r>
            <w:r>
              <w:rPr>
                <w:b/>
                <w:bCs/>
                <w:sz w:val="26"/>
                <w:szCs w:val="26"/>
              </w:rPr>
              <w:t>2015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eastAsia="Times New Roman" w:cs="Arial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2"/>
                <w:szCs w:val="22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rtl w:val="true"/>
              </w:rPr>
              <w:t>עמיד פלאח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המאשימה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רים בראנסה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מטעם הנאשם</w:t>
      </w:r>
      <w:r>
        <w:rPr>
          <w:u w:val="none"/>
          <w:rtl w:val="true"/>
        </w:rPr>
        <w:t xml:space="preserve">: </w:t>
      </w:r>
      <w:r>
        <w:rPr>
          <w:u w:val="none"/>
          <w:rtl w:val="true"/>
        </w:rPr>
        <w:t>בעצמו וע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 xml:space="preserve">י </w:t>
      </w:r>
      <w:bookmarkStart w:id="2" w:name="FirstLawyer"/>
      <w:r>
        <w:rPr>
          <w:u w:val="none"/>
          <w:rtl w:val="true"/>
        </w:rPr>
        <w:t>ב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כ</w:t>
      </w:r>
      <w:bookmarkEnd w:id="2"/>
      <w:r>
        <w:rPr>
          <w:u w:val="none"/>
          <w:rtl w:val="true"/>
        </w:rPr>
        <w:t xml:space="preserve"> עו</w:t>
      </w:r>
      <w:r>
        <w:rPr>
          <w:u w:val="none"/>
          <w:rtl w:val="true"/>
        </w:rPr>
        <w:t>"</w:t>
      </w:r>
      <w:r>
        <w:rPr>
          <w:u w:val="none"/>
          <w:rtl w:val="true"/>
        </w:rPr>
        <w:t>ד ניזאר עבוד מהסנגוריה הציבורית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340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firstLine="36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4" w:name="PsakDin"/>
      <w:bookmarkStart w:id="5" w:name="LawTable_End"/>
      <w:bookmarkEnd w:id="4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firstLine="360" w:end="0"/>
        <w:jc w:val="both"/>
        <w:rPr>
          <w:rFonts w:ascii="Times New Roman" w:hAnsi="Times New Roman" w:eastAsia="Times New Roman" w:cs="Times New Roman"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  <w:rtl w:val="true"/>
        </w:rPr>
      </w:r>
      <w:bookmarkStart w:id="6" w:name="PsakDin"/>
      <w:bookmarkStart w:id="7" w:name="PsakDin"/>
      <w:bookmarkEnd w:id="7"/>
    </w:p>
    <w:p>
      <w:pPr>
        <w:pStyle w:val="Normal"/>
        <w:spacing w:lineRule="auto" w:line="360"/>
        <w:ind w:firstLine="360"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פתח דבר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bookmarkStart w:id="8" w:name="ABSTRACT_START"/>
      <w:bookmarkEnd w:id="8"/>
      <w:r>
        <w:rPr>
          <w:rFonts w:ascii="Times New Roman" w:hAnsi="Times New Roman" w:eastAsia="Times New Roman" w:cs="Times New Roman"/>
          <w:rtl w:val="true"/>
        </w:rPr>
        <w:t>הנאשם הורשע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פי הודאתו במסגרת הסדר 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בעבירות נשק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נשיאה והובלה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5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144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ב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ל</w:t>
      </w:r>
      <w:hyperlink r:id="rId6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חוק העונשין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התשל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ז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eastAsia="Times New Roman" w:cs="Times New Roman" w:ascii="Times New Roman" w:hAnsi="Times New Roman"/>
        </w:rPr>
        <w:t>1977</w:t>
      </w:r>
      <w:r>
        <w:rPr>
          <w:rFonts w:eastAsia="Times New Roman" w:cs="Times New Roman" w:ascii="Times New Roman" w:hAnsi="Times New Roman"/>
          <w:rtl w:val="true"/>
        </w:rPr>
        <w:t xml:space="preserve"> 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החוק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ויריות באזור מגורים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עבירה לפי </w:t>
      </w:r>
      <w:hyperlink r:id="rId7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340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א</w:t>
        </w:r>
      </w:hyperlink>
      <w:r>
        <w:rPr>
          <w:rFonts w:ascii="Times New Roman" w:hAnsi="Times New Roman" w:eastAsia="Times New Roman" w:cs="Times New Roman"/>
          <w:rtl w:val="true"/>
        </w:rPr>
        <w:t xml:space="preserve"> לחוק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הסדר הטיעון בעניינו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הנאשם הודה בעובדות כתב האישום המתוקן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כתב האישום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eastAsia="Times New Roman"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eastAsia="Times New Roman" w:cs="Times New Roman"/>
          <w:rtl w:val="true"/>
        </w:rPr>
        <w:t>והורשע בהן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ולבקשת סנגורו הופנה לקבלת תסקיר שירות המבחן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ההסדר לא כלל הסכמה לעניין העונש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עובדות כתב האישום המתוקן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עובדות כתב האישום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אברהים פודה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להלן</w:t>
      </w:r>
      <w:r>
        <w:rPr>
          <w:rFonts w:eastAsia="Times New Roman" w:cs="Times New Roman" w:ascii="Times New Roman" w:hAnsi="Times New Roman"/>
          <w:rtl w:val="true"/>
        </w:rPr>
        <w:t>: 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המתלונן</w:t>
      </w:r>
      <w:r>
        <w:rPr>
          <w:rFonts w:eastAsia="Times New Roman" w:cs="Times New Roman" w:ascii="Times New Roman" w:hAnsi="Times New Roman"/>
          <w:rtl w:val="true"/>
        </w:rPr>
        <w:t xml:space="preserve">"), </w:t>
      </w:r>
      <w:r>
        <w:rPr>
          <w:rFonts w:ascii="Times New Roman" w:hAnsi="Times New Roman" w:eastAsia="Times New Roman" w:cs="Times New Roman"/>
          <w:rtl w:val="true"/>
        </w:rPr>
        <w:t>הנו תושב ריינה וקבלן שלד במקצועו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אשר העסיק את הנאשם בין החודשים יולי </w:t>
      </w:r>
      <w:r>
        <w:rPr>
          <w:rFonts w:eastAsia="Times New Roman" w:cs="Times New Roman" w:ascii="Times New Roman" w:hAnsi="Times New Roman"/>
        </w:rPr>
        <w:t>2012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 xml:space="preserve">לינואר </w:t>
      </w:r>
      <w:r>
        <w:rPr>
          <w:rFonts w:eastAsia="Times New Roman" w:cs="Times New Roman" w:ascii="Times New Roman" w:hAnsi="Times New Roman"/>
        </w:rPr>
        <w:t>2013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כחודש מתום סיום העסקתו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פנה הנאשם למתלונן בטרוניה כי שכרו לא שולם במועד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ובין המתלונן לנאשם ומשפחתו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נתגלע סכסוך עקב כך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 xml:space="preserve">ממשיך כתב האישום לתאר כי ביום </w:t>
      </w:r>
      <w:r>
        <w:rPr>
          <w:rFonts w:eastAsia="Times New Roman" w:cs="Times New Roman" w:ascii="Times New Roman" w:hAnsi="Times New Roman"/>
        </w:rPr>
        <w:t>25.06.203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בסמוך לשעה </w:t>
      </w:r>
      <w:r>
        <w:rPr>
          <w:rFonts w:eastAsia="Times New Roman" w:cs="Times New Roman" w:ascii="Times New Roman" w:hAnsi="Times New Roman"/>
        </w:rPr>
        <w:t>22:40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נסע הנאשם ברכבה של אמו בכפר ריינה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חלף על פני בית המתלונן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בהגיעו לסוף הרחוב סב על עקבותיו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הוציא מחלון הרכב קנה של רובה ארוך וירה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תוך כדי נסיעה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כאחת עשר כדורים באוויר טרם שנמלט מהמקום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תסקיר שירות המבחן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הנאשם הופנה לקבלת תסקיר שירות המבחן בענייננו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פי התסקיר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רווק כבן </w:t>
      </w:r>
      <w:r>
        <w:rPr>
          <w:rFonts w:eastAsia="Times New Roman" w:cs="Times New Roman" w:ascii="Times New Roman" w:hAnsi="Times New Roman"/>
        </w:rPr>
        <w:t>20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בעל השכלה תיכונית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התסקיר מלמד על הרקע המשפחתי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משפחה תומכת ומעורבת המנהלת אורח חיים נורמטיבי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לנאשם אין הרשעות קודמות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בהתייחסו למעורבותו במעשים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קיבל הנאשם אחריות מלאה על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לדבריו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לאחר שהמתלונן הודיע לו כי אין בכוונתו לשלם את שכרו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התפתח בניהם ויכוח אשר הסלים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תיאר כי חש פגיעה בכבודו ובכבוד משפחתו לאחר שהמתלונן קילל והעליב את בני משפחתו ועדתו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על רקע זה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תיאר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ביקש להפחיד את המתלונן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להערכת שירות המבחן</w:t>
      </w:r>
      <w:r>
        <w:rPr>
          <w:rFonts w:eastAsia="Times New Roman" w:cs="Times New Roman" w:ascii="Times New Roman" w:hAnsi="Times New Roman"/>
          <w:rtl w:val="true"/>
        </w:rPr>
        <w:t>, "</w:t>
      </w:r>
      <w:r>
        <w:rPr>
          <w:rFonts w:eastAsia="Times New Roman"/>
          <w:b/>
          <w:b/>
          <w:bCs/>
          <w:rtl w:val="true"/>
        </w:rPr>
        <w:t>חוסר בשלות חשיבתית וחוסר בשלות רגלית על רקע גילו הצעיר בעת ביצוע העבירה וקושי לווסת את דחפיו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גרמו למעורבותו בעבירות הנדונות</w:t>
      </w:r>
      <w:r>
        <w:rPr>
          <w:rFonts w:eastAsia="Times New Roman"/>
          <w:b/>
          <w:bCs/>
          <w:rtl w:val="true"/>
        </w:rPr>
        <w:t>".</w:t>
      </w:r>
      <w:r>
        <w:rPr>
          <w:rFonts w:eastAsia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שירות המבחן העריך כי הנאשם הבין את חומרת מעשיו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הביע חרטה עמוקה וגילה אמפתיה רבה למתלונן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כאשר גם משפחתו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גינתה את המעשה והעבירה לו מסר חינוכי בדבר משמעות מעשיו וחשיבות השמירה על החוק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התסקיר הביע את חששו של הנאשם כי בעקבות מעשיו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יפגע הליך גיוסו לצה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צוין כי הסיכון להישנות העבירות דומות בעתיד הנו נמוך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ניכר כי מדובר בבחור צעיר ללא דפוסי התנהגות עבריינית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אשר ההליך הפלילי חידד עבורו את גבולות החוק ומשמעות מעשיו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שירות המבחן סבר כי  יש להשית על הנאשם עונש מאסר בעבודות שירות ותשלום פיצוי למתלונן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 המאשימה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התייחסה בטיעוניה לחומרת העבירות בהן הורשע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לעבירות בנשק אשר הפכו נפוצות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זמינותו של נשק חם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המוחזק ע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י אנשים בבתיהם יכול באופן טבעי לפגוע פגיעות קשות בחפים מפשע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נטען כי ירי לכיוון ביתו של אדם באישון ליל מהווה מעשה חמור ומסוכן שתוצאותיו עלולות להיות הרות אסון כאשר רק במזל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איש לא נפגע כתוצאה מירי של </w:t>
      </w:r>
      <w:r>
        <w:rPr>
          <w:rFonts w:eastAsia="Times New Roman" w:cs="Times New Roman" w:ascii="Times New Roman" w:hAnsi="Times New Roman"/>
        </w:rPr>
        <w:t>11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כדורים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עבירות נשק הן מסוג העבירות המחייבות במסגרת ענישתן ליקח בחשבון אף את מימד הרתעת הרבים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עמדה על התכנון שקדם לביצוע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לא מדובר בהתנהלות ספונטאנית אלא במסע מכוון לעבר ביתו של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ביצע את העבירות לבדו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הנזק שעלול היה להיגרם מן המעשים היה עלול להיות חמור שבעתיים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לאור נסיבות ביצוע העבירות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סברה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 xml:space="preserve">כ המאשימה כי מתחם העונש ההולם לעבירות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 xml:space="preserve">הנו בין </w:t>
      </w:r>
      <w:r>
        <w:rPr>
          <w:rFonts w:eastAsia="Times New Roman" w:cs="Times New Roman" w:ascii="Times New Roman" w:hAnsi="Times New Roman"/>
          <w:b/>
          <w:bCs/>
          <w:u w:val="single"/>
        </w:rPr>
        <w:t>15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ל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-</w:t>
      </w:r>
      <w:r>
        <w:rPr>
          <w:rFonts w:eastAsia="Times New Roman" w:cs="Times New Roman" w:ascii="Times New Roman" w:hAnsi="Times New Roman"/>
          <w:b/>
          <w:bCs/>
          <w:u w:val="single"/>
        </w:rPr>
        <w:t>30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חודשי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ועונשים נלווים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לנסיבותיו האישיות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סברה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המאשימה כי בהתחשב בעובדה כי זוהי העבירה הראשונה אותה ביצע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בנטילת האחריות ובהבעת החרטה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יש להטיל על הנאשם עונש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ברף הנמוך שבמתחם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על תנאי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קנס ופיצוי כספי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טיעוני הנאשם לעונש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ביקש מבית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שלא למצות את הדין עם הנאשם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הדגיש כי לנאשם מלאו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 בעת ביצוע המיוחס לו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ואין לו עבר פלילי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הרחיב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כי מדובר בצעיר נורמטיבי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בן למשפחה חיובית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משפחה שכולה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הרחוקה מפעילות עבריינית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אין להקל ראש במיוחס לנאשם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האירוע בסופו של יום לא גרם לפגיעה בגוף או ברכוש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צוין כי כתב האישום תוקן בצורה משמעותית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גם בשירות המבחן התרשמו מכנות ומנטילת אחריות על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ידי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והתסקיר מצביע על סיכון נמוך להישנות עבירות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המשיך ותיאר כי ברצונו של הנאשם להתגייס לצה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ל ולתרום למדינה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היה נתון במעצר במשך תקופה ארוכה והיה נתון בתנאים מגבילים אשר מהווים ענישה מסוימת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עוד צוין כי בין המתלונן לנאשם נערכה סולחה והשניים חזרו ליחסים שגרתיים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לסיום ביקש ב</w:t>
      </w:r>
      <w:r>
        <w:rPr>
          <w:rFonts w:eastAsia="Times New Roman" w:cs="Times New Roman" w:ascii="Times New Roman" w:hAnsi="Times New Roman"/>
          <w:rtl w:val="true"/>
        </w:rPr>
        <w:t>"</w:t>
      </w:r>
      <w:r>
        <w:rPr>
          <w:rFonts w:ascii="Times New Roman" w:hAnsi="Times New Roman" w:eastAsia="Times New Roman" w:cs="Times New Roman"/>
          <w:rtl w:val="true"/>
        </w:rPr>
        <w:t>כ הנאשם מבית</w:t>
      </w:r>
      <w:r>
        <w:rPr>
          <w:rFonts w:eastAsia="Times New Roman" w:cs="Times New Roman" w:ascii="Times New Roman" w:hAnsi="Times New Roman"/>
          <w:rtl w:val="true"/>
        </w:rPr>
        <w:t>-</w:t>
      </w:r>
      <w:r>
        <w:rPr>
          <w:rFonts w:ascii="Times New Roman" w:hAnsi="Times New Roman" w:eastAsia="Times New Roman" w:cs="Times New Roman"/>
          <w:rtl w:val="true"/>
        </w:rPr>
        <w:t>המשפט לאמץ את המלצת התסקיר שלא לגזור עונש מאסר בפועל על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מאסר שעלול לפגוע בשיקומו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אלא להטיל עונש מתון בדמות מאסר לריצוי בעבודות שירות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לטענתו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שיקולי השיקום מאפשרים סטייה ממתחם העונש ההולם והם קודמים במקרה זה על שיקולי ההרתעה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/>
          <w:bCs/>
          <w:u w:val="single"/>
          <w:rtl w:val="true"/>
        </w:rPr>
        <w:t>דיון</w:t>
      </w:r>
      <w:r>
        <w:rPr>
          <w:rFonts w:eastAsia="Times New Roman" w:cs="Times New Roman" w:ascii="Times New Roman" w:hAnsi="Times New Roman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>הערך החברתי שנפגע מביצוע העבירה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72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על החומרה הכרוכה בעבירות נשק עמד בית המשפט העליון לא אחת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לעניין זה נאמר ב</w:t>
      </w:r>
      <w:hyperlink r:id="rId8"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eastAsia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 w:cs="Times New Roman" w:ascii="Times New Roman" w:hAnsi="Times New Roman"/>
            <w:color w:val="0000FF"/>
            <w:u w:val="single"/>
          </w:rPr>
          <w:t>8416/09</w:t>
        </w:r>
      </w:hyperlink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מחמוד חרבוש </w:t>
      </w:r>
      <w:r>
        <w:rPr>
          <w:rFonts w:eastAsia="Times New Roman" w:cs="Times New Roman" w:ascii="Times New Roman" w:hAnsi="Times New Roman"/>
          <w:rtl w:val="true"/>
        </w:rPr>
        <w:t>(</w:t>
      </w:r>
      <w:r>
        <w:rPr>
          <w:rFonts w:ascii="Times New Roman" w:hAnsi="Times New Roman" w:eastAsia="Times New Roman" w:cs="Times New Roman"/>
          <w:rtl w:val="true"/>
        </w:rPr>
        <w:t>לא פורסם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 w:cs="Times New Roman" w:ascii="Times New Roman" w:hAnsi="Times New Roman"/>
        </w:rPr>
        <w:t>09.06.10</w:t>
      </w:r>
      <w:r>
        <w:rPr>
          <w:rFonts w:eastAsia="Times New Roman" w:cs="Times New Roman" w:ascii="Times New Roman" w:hAnsi="Times New Roman"/>
          <w:rtl w:val="true"/>
        </w:rPr>
        <w:t>):</w:t>
      </w:r>
    </w:p>
    <w:p>
      <w:pPr>
        <w:pStyle w:val="Normal"/>
        <w:spacing w:lineRule="auto" w:line="360"/>
        <w:ind w:start="1440" w:end="425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חומרתה של עבירת החזקת הנשק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מקורה בכך שעבירה זאת אינה  נעשית  לרוב אלא כדי לאפשר ביצוען של עבירות אחרות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שמעצם טבעו של הנשק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כרוכות באלימות או בהפחדה</w:t>
      </w:r>
      <w:r>
        <w:rPr>
          <w:rFonts w:eastAsia="Times New Roman" w:cs="Times New Roman" w:ascii="Times New Roman" w:hAnsi="Times New Roman"/>
          <w:b/>
          <w:bCs/>
          <w:rtl w:val="true"/>
        </w:rPr>
        <w:t>. ...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מחייבת מתן ביטוי עונשי הולם והחמרה ברמת הענישה </w:t>
      </w:r>
      <w:r>
        <w:rPr>
          <w:rFonts w:eastAsia="Times New Roman" w:cs="Times New Roman" w:ascii="Times New Roman" w:hAnsi="Times New Roman"/>
          <w:b/>
          <w:bCs/>
          <w:rtl w:val="true"/>
        </w:rPr>
        <w:t>(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ראו ע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פ </w:t>
      </w:r>
      <w:r>
        <w:rPr>
          <w:rFonts w:eastAsia="Times New Roman" w:cs="Times New Roman" w:ascii="Times New Roman" w:hAnsi="Times New Roman"/>
          <w:b/>
          <w:bCs/>
        </w:rPr>
        <w:t>1332/04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מדינת ישראל נ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'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פס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סעיף </w:t>
      </w:r>
      <w:r>
        <w:rPr>
          <w:rFonts w:eastAsia="Times New Roman" w:cs="Times New Roman" w:ascii="Times New Roman" w:hAnsi="Times New Roman"/>
          <w:b/>
          <w:bCs/>
        </w:rPr>
        <w:t>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([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פורסם בנבו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], </w:t>
      </w:r>
      <w:r>
        <w:rPr>
          <w:rFonts w:eastAsia="Times New Roman" w:cs="Times New Roman" w:ascii="Times New Roman" w:hAnsi="Times New Roman"/>
          <w:b/>
          <w:bCs/>
        </w:rPr>
        <w:t>19.4.04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)).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יש לעשות כן עוד בטרם ייעשה באקדח שימוש קטלני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באמצעות הרחקת המחזיק בו מן החברה לפרק זמן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והעברת מסר מרתיע באמצעות עונש מאסר ממשי לריצוי בפועל</w:t>
      </w:r>
      <w:r>
        <w:rPr>
          <w:rFonts w:eastAsia="Times New Roman" w:cs="Times New Roman" w:ascii="Times New Roman" w:hAnsi="Times New Roman"/>
          <w:b/>
          <w:bCs/>
          <w:rtl w:val="true"/>
        </w:rPr>
        <w:t>"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עמדה זו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ולפיה יש מקום להטיל עונש של מאסר בפועל על מי שהורשע בהחזקת נשק</w:t>
      </w:r>
      <w:r>
        <w:rPr>
          <w:rFonts w:eastAsia="Times New Roman" w:cs="Times New Roman" w:ascii="Times New Roman" w:hAnsi="Times New Roman"/>
          <w:rtl w:val="true"/>
        </w:rPr>
        <w:t xml:space="preserve">,         </w:t>
      </w:r>
      <w:r>
        <w:rPr>
          <w:rFonts w:ascii="Times New Roman" w:hAnsi="Times New Roman" w:eastAsia="Times New Roman" w:cs="Times New Roman"/>
          <w:rtl w:val="true"/>
        </w:rPr>
        <w:t>אומצה בשורה של פסקי דין אשר דנו בעבירות בדרגות חומרה שונות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וקביעה זו מקבלת משנה תוקף כאשר מדובר בביצוע עבירות נוספות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בהן נשיאה והובלת נשק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לנסיבות ביצוע העבירה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שלפניי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על רקע סכסוך כספי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ירה לעבר בית המתלונן אחד עשר כדורים במטרה להפחידו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הנאשם ביצע את העבירות לבדו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הוא יזם את התקרית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ביודעין ומבלי שנקלע למקום באקראי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/>
        <w:ind w:firstLine="900" w:start="-18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מדיניות הענישה ומתחם העונש ההולם</w:t>
      </w:r>
      <w:r>
        <w:rPr>
          <w:rFonts w:eastAsia="Times New Roman" w:cs="Times New Roman" w:ascii="Times New Roman" w:hAnsi="Times New Roman"/>
          <w:b/>
          <w:bCs/>
          <w:rtl w:val="true"/>
        </w:rPr>
        <w:t>:</w:t>
      </w:r>
    </w:p>
    <w:p>
      <w:pPr>
        <w:pStyle w:val="Normal"/>
        <w:spacing w:lineRule="auto" w:line="360"/>
        <w:ind w:start="-18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/>
          <w:rtl w:val="true"/>
        </w:rPr>
        <w:t>סקירת מדיניות הענישה הנהוגה בעבירות נשק בכלל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ובפרט בעבירות של ירי באזור מגורים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מעלה כי מתחם העונש לו עותרת המאשימה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בנסיבותיו של מקרה זה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זה הוא מעט גבוה ביחס לגישת הפסיקה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</w:t>
      </w:r>
      <w:hyperlink r:id="rId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נצרת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21113-08-12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כנאנה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27.11.12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ניסיון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גזרתי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1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6989/13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חנא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פרח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25.02.14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ונשיאת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ונהיגה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בשכרות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המערער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המקובל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1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2006/12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אסדי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28.03.12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ואיומים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מאקדחו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ילדיה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הקטינים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לאינטרס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השיקומי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Arial" w:hAnsi="Arial" w:eastAsia="Times New Roman" w:cs="Arial"/>
        </w:rPr>
      </w:pPr>
      <w:r>
        <w:rPr>
          <w:rFonts w:ascii="Calibri" w:hAnsi="Calibri" w:eastAsia="Times New Roman" w:cs="Calibri"/>
          <w:rtl w:val="true"/>
        </w:rPr>
        <w:t>ב</w:t>
      </w:r>
      <w:hyperlink r:id="rId1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45208-03-13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מנסור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08.09.13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בעבירות של החזקת נשק שלא כדין ויריות באזור מגורים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במקרה זה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בנו של הנאשם התקוטט עם בנין של המתלונן</w:t>
      </w:r>
      <w:r>
        <w:rPr>
          <w:rFonts w:eastAsia="Times New Roman" w:cs="Arial" w:ascii="Arial" w:hAnsi="Arial"/>
          <w:rtl w:val="true"/>
        </w:rPr>
        <w:t xml:space="preserve">, </w:t>
      </w:r>
      <w:r>
        <w:rPr>
          <w:rFonts w:ascii="Arial" w:hAnsi="Arial" w:eastAsia="Times New Roman" w:cs="Arial"/>
          <w:rtl w:val="true"/>
        </w:rPr>
        <w:t>לפיכך הגיע הנאשם לבית המתלונן כשהוא נושא אקדח שלא כדין וירה ירייה לעבר חצר ביתו</w:t>
      </w:r>
      <w:r>
        <w:rPr>
          <w:rFonts w:eastAsia="Times New Roman" w:cs="Arial" w:ascii="Arial" w:hAnsi="Arial"/>
          <w:rtl w:val="true"/>
        </w:rPr>
        <w:t xml:space="preserve">. </w:t>
      </w:r>
      <w:r>
        <w:rPr>
          <w:rFonts w:ascii="Arial" w:hAnsi="Arial" w:eastAsia="Times New Roman" w:cs="Arial"/>
          <w:rtl w:val="true"/>
        </w:rPr>
        <w:t>עונשו של הנאשם נגזר ל</w:t>
      </w:r>
      <w:r>
        <w:rPr>
          <w:rFonts w:eastAsia="Times New Roman" w:cs="Arial" w:ascii="Arial" w:hAnsi="Arial"/>
          <w:rtl w:val="true"/>
        </w:rPr>
        <w:t xml:space="preserve">- </w:t>
      </w:r>
      <w:r>
        <w:rPr>
          <w:rFonts w:eastAsia="Times New Roman" w:cs="Arial" w:ascii="Arial" w:hAnsi="Arial"/>
        </w:rPr>
        <w:t>12</w:t>
      </w:r>
      <w:r>
        <w:rPr>
          <w:rFonts w:eastAsia="Times New Roman"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rtl w:val="true"/>
        </w:rPr>
        <w:t>חודשי מאסר בפועל</w:t>
      </w:r>
      <w:r>
        <w:rPr>
          <w:rFonts w:eastAsia="Times New Roman"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eastAsia="Times New Roman" w:cs="Arial"/>
        </w:rPr>
      </w:pPr>
      <w:r>
        <w:rPr>
          <w:rFonts w:eastAsia="Times New Roman" w:cs="Arial" w:ascii="Arial" w:hAnsi="Arial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ובהשוואה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במקרה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זה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בכל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האמור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לסעיפי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המיוחסים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נע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12-24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חודשי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  <w:b/>
          <w:bCs/>
        </w:rPr>
      </w:pPr>
      <w:r>
        <w:rPr>
          <w:rFonts w:ascii="Calibri" w:hAnsi="Calibri" w:eastAsia="Times New Roman" w:cs="Calibri"/>
          <w:b/>
          <w:b/>
          <w:bCs/>
          <w:rtl w:val="true"/>
        </w:rPr>
        <w:t>נסיבות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וגזירת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</w:t>
      </w:r>
      <w:r>
        <w:rPr>
          <w:rFonts w:eastAsia="Times New Roman" w:cs="Calibri" w:ascii="Calibri" w:hAnsi="Calibri"/>
          <w:b/>
          <w:bCs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לנסיבותיו האישיות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</w:t>
      </w:r>
      <w:r>
        <w:rPr>
          <w:rFonts w:eastAsia="Times New Roman"/>
          <w:rtl w:val="true"/>
        </w:rPr>
        <w:t>לקביעת העונש בתוך המתחם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הרי שמדובר בנאשם שהודה במסגרת הסדר טיעון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הנאשם נעדר עבר פלילי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וככלל קיים אורח חיים נורמטיבי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>תסקיר שירות המבחן פירט את נסיבות חייו בהרחבה וניתן להגדירו כחיובי ביותר – צוינה משפחתו החמה והנורמטיבית של הנאשם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הבעת החרטה והפנמת חומרת המעשים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הסולחה שנערכה בין הצדדים והתרשמות שירות המבחן כי מדובר בצעיר נורמטיבי אשר הסיכוי להישנות העבירות לגביו נמוכה</w:t>
      </w:r>
      <w:r>
        <w:rPr>
          <w:rFonts w:eastAsia="Times New Roman" w:cs="Times New Roman" w:ascii="Times New Roman" w:hAnsi="Times New Roman"/>
          <w:rtl w:val="true"/>
        </w:rPr>
        <w:t>.</w:t>
      </w:r>
    </w:p>
    <w:p>
      <w:pPr>
        <w:pStyle w:val="Normal"/>
        <w:spacing w:lineRule="auto" w:line="360"/>
        <w:ind w:start="-180" w:end="0"/>
        <w:jc w:val="start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eastAsia="Times New Roman"/>
        </w:rPr>
      </w:pPr>
      <w:r>
        <w:rPr>
          <w:rFonts w:ascii="Times New Roman" w:hAnsi="Times New Roman" w:eastAsia="Times New Roman" w:cs="Times New Roman"/>
          <w:rtl w:val="true"/>
        </w:rPr>
        <w:t>באשר להמלצתה האופרטיבית של שירות המבחן שנכללה בתסקיר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>לפיה אין להטיל על הנאשם מאסר בפועל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eastAsia="Times New Roman"/>
          <w:rtl w:val="true"/>
        </w:rPr>
        <w:t>לא אוכל לקבלה לאור מגמת הפסיקה לפיה גם מי שאין לו עבר פלילי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וזו לו העבירה הראשונה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ראוי לענישה מחמירה ומרתיעה באם ביצע עבירות בנשק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התפיסה הנה כי יש ליתן משקל נכבד לאינטרס הציבורי ולצורך להרתיע עבריינים בכוח מלבצע עבירות דומות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ולהעדיפם על פני נסיבותיו האישיות של מבצע העבירה </w:t>
      </w:r>
      <w:r>
        <w:rPr>
          <w:rFonts w:eastAsia="Times New Roman"/>
          <w:rtl w:val="true"/>
        </w:rPr>
        <w:t>(</w:t>
      </w:r>
      <w:hyperlink r:id="rId13">
        <w:r>
          <w:rPr>
            <w:rStyle w:val="Hyperlink"/>
            <w:rFonts w:eastAsia="Times New Roman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2718/04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אבו דאחל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>מדינת ישראל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פורסם בנבו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מיום </w:t>
      </w:r>
      <w:r>
        <w:rPr>
          <w:rFonts w:eastAsia="Times New Roman"/>
        </w:rPr>
        <w:t>29/3/04</w:t>
      </w:r>
      <w:r>
        <w:rPr>
          <w:rFonts w:eastAsia="Times New Roman"/>
          <w:rtl w:val="true"/>
        </w:rPr>
        <w:t>).</w:t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eastAsia="Times New Roman"/>
        </w:rPr>
      </w:pPr>
      <w:r>
        <w:rPr>
          <w:rFonts w:ascii="Times New Roman" w:hAnsi="Times New Roman" w:eastAsia="Times New Roman" w:cs="Times New Roman"/>
          <w:rtl w:val="true"/>
        </w:rPr>
        <w:t>עם זאת</w:t>
      </w:r>
      <w:r>
        <w:rPr>
          <w:rFonts w:eastAsia="Times New Roman"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eastAsia="Times New Roman" w:cs="Times New Roman"/>
          <w:rtl w:val="true"/>
        </w:rPr>
        <w:t xml:space="preserve">סבורני  כי נסיבותיו האישיות של הנאשם מאפשרות </w:t>
      </w:r>
      <w:r>
        <w:rPr>
          <w:rFonts w:eastAsia="Times New Roman"/>
          <w:rtl w:val="true"/>
        </w:rPr>
        <w:t xml:space="preserve">סטייה לקולא ממתחם העונש ההולם לפי </w:t>
      </w:r>
      <w:r>
        <w:rPr>
          <w:rFonts w:eastAsia="Times New Roman"/>
          <w:color w:val="000000"/>
          <w:rtl w:val="true"/>
        </w:rPr>
        <w:t xml:space="preserve">סעיף </w:t>
      </w:r>
      <w:r>
        <w:rPr>
          <w:rFonts w:eastAsia="Times New Roman"/>
          <w:color w:val="000000"/>
        </w:rPr>
        <w:t>40</w:t>
      </w:r>
      <w:r>
        <w:rPr>
          <w:rFonts w:eastAsia="Times New Roman"/>
          <w:color w:val="000000"/>
          <w:rtl w:val="true"/>
        </w:rPr>
        <w:t>ד</w:t>
      </w:r>
      <w:r>
        <w:rPr>
          <w:rFonts w:eastAsia="Times New Roman"/>
          <w:rtl w:val="true"/>
        </w:rPr>
        <w:t xml:space="preserve"> לתיקון </w:t>
      </w:r>
      <w:r>
        <w:rPr>
          <w:rFonts w:eastAsia="Times New Roman"/>
        </w:rPr>
        <w:t>113</w:t>
      </w:r>
      <w:r>
        <w:rPr>
          <w:rFonts w:eastAsia="Times New Roman"/>
          <w:rtl w:val="true"/>
        </w:rPr>
        <w:t xml:space="preserve">: </w:t>
      </w:r>
      <w:r>
        <w:rPr>
          <w:rFonts w:ascii="Times New Roman" w:hAnsi="Times New Roman" w:eastAsia="Times New Roman" w:cs="Times New Roman"/>
          <w:rtl w:val="true"/>
        </w:rPr>
        <w:t xml:space="preserve">לעניין זה אדגיש כעיקר את גילו הצעיר של הנאשם אשר ביצע את העבירות כשאך מלאו לו </w:t>
      </w:r>
      <w:r>
        <w:rPr>
          <w:rFonts w:eastAsia="Times New Roman" w:cs="Times New Roman" w:ascii="Times New Roman" w:hAnsi="Times New Roman"/>
        </w:rPr>
        <w:t>18</w:t>
      </w:r>
      <w:r>
        <w:rPr>
          <w:rFonts w:eastAsia="Times New Roman"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eastAsia="Times New Roman" w:cs="Times New Roman"/>
          <w:rtl w:val="true"/>
        </w:rPr>
        <w:t>שנים</w:t>
      </w:r>
      <w:r>
        <w:rPr>
          <w:rFonts w:eastAsia="Times New Roman"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eastAsia="Times New Roman" w:cs="Times New Roman"/>
          <w:rtl w:val="true"/>
        </w:rPr>
        <w:t xml:space="preserve">עוד אפנה לנאמר בהרחבה </w:t>
      </w:r>
      <w:r>
        <w:rPr>
          <w:rFonts w:eastAsia="Times New Roman"/>
          <w:rtl w:val="true"/>
        </w:rPr>
        <w:t>ב</w:t>
      </w:r>
      <w:hyperlink r:id="rId14">
        <w:r>
          <w:rPr>
            <w:rStyle w:val="Hyperlink"/>
            <w:rFonts w:eastAsia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eastAsia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eastAsia="Times New Roman"/>
            <w:color w:val="0000FF"/>
            <w:u w:val="single"/>
          </w:rPr>
          <w:t>7781/12</w:t>
        </w:r>
      </w:hyperlink>
      <w:r>
        <w:rPr>
          <w:rFonts w:eastAsia="Times New Roman"/>
          <w:rtl w:val="true"/>
        </w:rPr>
        <w:t xml:space="preserve"> </w:t>
      </w:r>
      <w:r>
        <w:rPr>
          <w:rFonts w:eastAsia="Times New Roman"/>
          <w:b/>
          <w:b/>
          <w:bCs/>
          <w:rtl w:val="true"/>
        </w:rPr>
        <w:t>פלוני נ</w:t>
      </w:r>
      <w:r>
        <w:rPr>
          <w:rFonts w:eastAsia="Times New Roman"/>
          <w:b/>
          <w:bCs/>
          <w:rtl w:val="true"/>
        </w:rPr>
        <w:t xml:space="preserve">' </w:t>
      </w:r>
      <w:r>
        <w:rPr>
          <w:rFonts w:eastAsia="Times New Roman"/>
          <w:b/>
          <w:b/>
          <w:bCs/>
          <w:rtl w:val="true"/>
        </w:rPr>
        <w:t xml:space="preserve">מדינת ישראל </w:t>
      </w:r>
      <w:r>
        <w:rPr>
          <w:rFonts w:eastAsia="Times New Roman"/>
          <w:rtl w:val="true"/>
        </w:rPr>
        <w:t>(</w:t>
      </w:r>
      <w:r>
        <w:rPr>
          <w:rFonts w:eastAsia="Times New Roman"/>
        </w:rPr>
        <w:t>25.6.13</w:t>
      </w:r>
      <w:r>
        <w:rPr>
          <w:rFonts w:eastAsia="Times New Roman"/>
          <w:rtl w:val="true"/>
        </w:rPr>
        <w:t xml:space="preserve">) </w:t>
      </w:r>
      <w:r>
        <w:rPr>
          <w:rFonts w:eastAsia="Times New Roman"/>
          <w:rtl w:val="true"/>
        </w:rPr>
        <w:t>שם ציין בית המשפט מפי כב</w:t>
      </w:r>
      <w:r>
        <w:rPr>
          <w:rFonts w:eastAsia="Times New Roman"/>
          <w:rtl w:val="true"/>
        </w:rPr>
        <w:t xml:space="preserve">' </w:t>
      </w:r>
      <w:r>
        <w:rPr>
          <w:rFonts w:eastAsia="Times New Roman"/>
          <w:rtl w:val="true"/>
        </w:rPr>
        <w:t>השופט ג</w:t>
      </w:r>
      <w:r>
        <w:rPr>
          <w:rFonts w:eastAsia="Times New Roman"/>
          <w:rtl w:val="true"/>
        </w:rPr>
        <w:t>'</w:t>
      </w:r>
      <w:r>
        <w:rPr>
          <w:rFonts w:eastAsia="Times New Roman"/>
          <w:rtl w:val="true"/>
        </w:rPr>
        <w:t>ובראן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כי במסגרת הענישה הותיר המחוקק לבית המשפט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מרחב שיקול דעת באשר להשפעת הגיל על העונש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כאשר ככל שגילו של הנאשם צעיר יותר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תינתן עדיפות להעדפת שיקולי השיקום על פני שיקולי ההרתעה והגמול</w:t>
      </w:r>
      <w:r>
        <w:rPr>
          <w:rFonts w:eastAsia="Times New Roman"/>
          <w:rtl w:val="true"/>
        </w:rPr>
        <w:t xml:space="preserve">. </w:t>
      </w:r>
      <w:r>
        <w:rPr>
          <w:rFonts w:eastAsia="Times New Roman"/>
          <w:rtl w:val="true"/>
        </w:rPr>
        <w:t>לעניין זה נאמר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 w:before="0" w:after="0"/>
        <w:ind w:start="1440" w:end="1134"/>
        <w:contextualSpacing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  <w:t>"</w:t>
      </w:r>
      <w:r>
        <w:rPr>
          <w:rFonts w:eastAsia="Times New Roman"/>
          <w:b/>
          <w:b/>
          <w:bCs/>
          <w:rtl w:val="true"/>
        </w:rPr>
        <w:t>מבנה מדורג זה הקבוע בחקיקה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משקף את מציאות החיים שבה לא ניתן לקבוע גבול דיכוטומי ומוחלט שלפניו אדם הוא קטין ולאחריו אדם הוא בגיר</w:t>
      </w:r>
      <w:r>
        <w:rPr>
          <w:rFonts w:eastAsia="Times New Roman"/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-142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-142"/>
        <w:jc w:val="both"/>
        <w:rPr>
          <w:rFonts w:eastAsia="Times New Roman"/>
        </w:rPr>
      </w:pPr>
      <w:r>
        <w:rPr>
          <w:rFonts w:eastAsia="Times New Roman"/>
          <w:rtl w:val="true"/>
        </w:rPr>
        <w:t>בהינתן האמור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 xml:space="preserve">לאור קרבתו הרבה של הנאשם לגיל </w:t>
      </w:r>
      <w:r>
        <w:rPr>
          <w:rFonts w:eastAsia="Times New Roman"/>
        </w:rPr>
        <w:t>18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כאשר גם שירות המבחן אבחן דפוסים ילדותיים אשר הביאוהו לביצוע העבירות</w:t>
      </w:r>
      <w:r>
        <w:rPr>
          <w:rFonts w:eastAsia="Times New Roman"/>
          <w:rtl w:val="true"/>
        </w:rPr>
        <w:t xml:space="preserve">; </w:t>
      </w:r>
      <w:r>
        <w:rPr>
          <w:rFonts w:eastAsia="Times New Roman"/>
          <w:rtl w:val="true"/>
        </w:rPr>
        <w:t>נוכח העובדה כי הוא נעדר עבר פלילי</w:t>
      </w:r>
      <w:r>
        <w:rPr>
          <w:rFonts w:eastAsia="Times New Roman"/>
          <w:rtl w:val="true"/>
        </w:rPr>
        <w:t xml:space="preserve">; </w:t>
      </w:r>
      <w:r>
        <w:rPr>
          <w:rFonts w:eastAsia="Times New Roman"/>
          <w:rtl w:val="true"/>
        </w:rPr>
        <w:t>הביע חרטה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ערך סולחה עם המתלונן</w:t>
      </w:r>
      <w:r>
        <w:rPr>
          <w:rFonts w:eastAsia="Times New Roman"/>
          <w:rtl w:val="true"/>
        </w:rPr>
        <w:t xml:space="preserve">; </w:t>
      </w:r>
      <w:r>
        <w:rPr>
          <w:rFonts w:eastAsia="Times New Roman"/>
          <w:rtl w:val="true"/>
        </w:rPr>
        <w:t>לאור הערכת התסקיר כי הסיכוי להישנות העבירות נמוך ונוכח העובדה כי מעשיו בסופו של יום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לא הביאו לנזק לגוף או לרכוש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סבורני כי בעניינו של הנאשם ניתן לגזור על הנאשם עונש החורג קמעה ממתחם הענישה הכללי</w:t>
      </w:r>
      <w:r>
        <w:rPr>
          <w:rFonts w:eastAsia="Times New Roman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360"/>
        <w:ind w:hanging="900" w:start="720" w:end="0"/>
        <w:jc w:val="both"/>
        <w:rPr>
          <w:rFonts w:eastAsia="Times New Roman"/>
        </w:rPr>
      </w:pPr>
      <w:r>
        <w:rPr>
          <w:rFonts w:eastAsia="Times New Roman"/>
          <w:rtl w:val="true"/>
        </w:rPr>
        <w:t>לאור כל האמור</w:t>
      </w:r>
      <w:r>
        <w:rPr>
          <w:rFonts w:eastAsia="Times New Roman"/>
          <w:rtl w:val="true"/>
        </w:rPr>
        <w:t xml:space="preserve">, </w:t>
      </w:r>
      <w:r>
        <w:rPr>
          <w:rFonts w:eastAsia="Times New Roman"/>
          <w:rtl w:val="true"/>
        </w:rPr>
        <w:t>אני מטיל על הנאשם את העונשים הבאים</w:t>
      </w:r>
      <w:r>
        <w:rPr>
          <w:rFonts w:eastAsia="Times New Roman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/>
          <w:bCs/>
          <w:rtl w:val="true"/>
        </w:rPr>
        <w:t>עשרים וארבעה חודשי מאסר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מתוכם תשעה חודשים לריצוי בפועל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בניכוי ימי מעצרו</w:t>
      </w:r>
      <w:r>
        <w:rPr>
          <w:rFonts w:eastAsia="Times New Roman"/>
          <w:b/>
          <w:bCs/>
          <w:rtl w:val="true"/>
        </w:rPr>
        <w:t xml:space="preserve">, </w:t>
      </w:r>
      <w:r>
        <w:rPr>
          <w:rFonts w:eastAsia="Times New Roman"/>
          <w:b/>
          <w:b/>
          <w:bCs/>
          <w:rtl w:val="true"/>
        </w:rPr>
        <w:t>ואילו היתרה על תנאי</w:t>
      </w:r>
      <w:r>
        <w:rPr>
          <w:rFonts w:eastAsia="Times New Roman"/>
          <w:b/>
          <w:b/>
          <w:bCs/>
          <w:rtl w:val="true"/>
        </w:rPr>
        <w:t xml:space="preserve"> למשך שלוש שנים</w:t>
      </w:r>
      <w:r>
        <w:rPr>
          <w:rFonts w:eastAsia="Times New Roman"/>
          <w:b/>
          <w:b/>
          <w:bCs/>
          <w:rtl w:val="true"/>
        </w:rPr>
        <w:t xml:space="preserve"> והתנאי </w:t>
      </w:r>
      <w:r>
        <w:rPr>
          <w:rFonts w:ascii="Calibri" w:hAnsi="Calibri" w:eastAsia="Times New Roman" w:cs="Calibri"/>
          <w:b/>
          <w:b/>
          <w:bCs/>
          <w:rtl w:val="true"/>
        </w:rPr>
        <w:t>לבל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יעבור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עבירה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העבירות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הורשע</w:t>
      </w:r>
      <w:r>
        <w:rPr>
          <w:rFonts w:eastAsia="Times New Roman" w:cs="Calibri" w:ascii="Calibri" w:hAnsi="Calibri"/>
          <w:b/>
          <w:bCs/>
          <w:rtl w:val="true"/>
        </w:rPr>
        <w:t>.</w:t>
      </w:r>
    </w:p>
    <w:p>
      <w:pPr>
        <w:pStyle w:val="Normal"/>
        <w:spacing w:lineRule="auto" w:line="360"/>
        <w:ind w:start="1440" w:end="0"/>
        <w:jc w:val="both"/>
        <w:rPr>
          <w:rFonts w:eastAsia="Times New Roman"/>
          <w:b/>
          <w:bCs/>
        </w:rPr>
      </w:pPr>
      <w:r>
        <w:rPr>
          <w:rFonts w:eastAsia="Times New Roman"/>
          <w:b/>
          <w:bCs/>
          <w:rtl w:val="true"/>
        </w:rPr>
      </w:r>
    </w:p>
    <w:p>
      <w:pPr>
        <w:pStyle w:val="Normal"/>
        <w:numPr>
          <w:ilvl w:val="1"/>
          <w:numId w:val="1"/>
        </w:numPr>
        <w:spacing w:lineRule="auto" w:line="360"/>
        <w:ind w:hanging="360" w:start="1440" w:end="0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אני מחייב את הנאשם לפצות את המתלונן בסך </w:t>
      </w:r>
      <w:r>
        <w:rPr>
          <w:rFonts w:eastAsia="Times New Roman" w:cs="Times New Roman" w:ascii="Times New Roman" w:hAnsi="Times New Roman"/>
          <w:b/>
          <w:bCs/>
        </w:rPr>
        <w:t>2,000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₪.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סכום הפיצוי יופקד בקופת בית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המשפט בתוך </w:t>
      </w:r>
      <w:r>
        <w:rPr>
          <w:rFonts w:eastAsia="Times New Roman" w:cs="Times New Roman" w:ascii="Times New Roman" w:hAnsi="Times New Roman"/>
          <w:b/>
          <w:bCs/>
        </w:rPr>
        <w:t>90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ימים מהיום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ויועבר לידי המתלונן על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פי הפרטים שתמסור המאשימה לגזברות בית</w:t>
      </w:r>
      <w:r>
        <w:rPr>
          <w:rFonts w:eastAsia="Times New Roman" w:cs="Times New Roman" w:ascii="Times New Roman" w:hAnsi="Times New Roman"/>
          <w:b/>
          <w:bCs/>
          <w:rtl w:val="true"/>
        </w:rPr>
        <w:t>-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המשפט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סכום הפיצוי יקוזז מסכום ההפקדה אשר הפקיד הנאשם בשעתו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,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היתרה תועבר לנאשם באמצעות אביו מר סברי עלי פלאח ת</w:t>
      </w:r>
      <w:r>
        <w:rPr>
          <w:rFonts w:eastAsia="Times New Roman" w:cs="Times New Roman" w:ascii="Times New Roman" w:hAnsi="Times New Roman"/>
          <w:b/>
          <w:bCs/>
          <w:rtl w:val="true"/>
        </w:rPr>
        <w:t>.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 xml:space="preserve">ז </w:t>
      </w:r>
      <w:r>
        <w:rPr>
          <w:rFonts w:eastAsia="Times New Roman" w:cs="Times New Roman" w:ascii="Times New Roman" w:hAnsi="Times New Roman"/>
          <w:b/>
          <w:bCs/>
        </w:rPr>
        <w:t>59342352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 </w:t>
      </w:r>
      <w:r>
        <w:rPr>
          <w:rFonts w:ascii="Times New Roman" w:hAnsi="Times New Roman" w:eastAsia="Times New Roman" w:cs="Times New Roman"/>
          <w:b/>
          <w:b/>
          <w:bCs/>
          <w:rtl w:val="true"/>
        </w:rPr>
        <w:t>בית זרזיר אל הייב</w:t>
      </w:r>
      <w:r>
        <w:rPr>
          <w:rFonts w:eastAsia="Times New Roman" w:cs="Times New Roman" w:ascii="Times New Roman" w:hAnsi="Times New Roman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-142"/>
        <w:jc w:val="both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  <w:u w:val="single"/>
        </w:rPr>
      </w:pPr>
      <w:r>
        <w:rPr>
          <w:rFonts w:ascii="David" w:hAnsi="David" w:cs="David"/>
          <w:b/>
          <w:b/>
          <w:bCs/>
          <w:u w:val="single"/>
          <w:rtl w:val="true"/>
        </w:rPr>
        <w:t xml:space="preserve">זכות ערעור לבית המשפט העליון בתוך </w:t>
      </w:r>
      <w:r>
        <w:rPr>
          <w:rFonts w:cs="David" w:ascii="David" w:hAnsi="David"/>
          <w:b/>
          <w:bCs/>
          <w:u w:val="single"/>
        </w:rPr>
        <w:t>45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יום מהיום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#4#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חשוון תשע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b/>
          <w:bCs/>
          <w:rtl w:val="true"/>
        </w:rPr>
        <w:t xml:space="preserve">, </w:t>
      </w:r>
      <w:r>
        <w:rPr/>
        <w:t>22/10/2015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כ הנאשם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אבקש עיכוב ביצוע לצורך התארגנות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 w:cs="David"/>
          <w:rtl w:val="true"/>
        </w:rPr>
        <w:t>אבקש כשלושים יום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ascii="David" w:hAnsi="David" w:cs="David"/>
          <w:b/>
          <w:b/>
          <w:bCs/>
          <w:u w:val="single"/>
          <w:rtl w:val="true"/>
        </w:rPr>
        <w:t>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כ המאשימה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 w:cs="David"/>
          <w:rtl w:val="true"/>
        </w:rPr>
        <w:t>מסכימה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sz w:val="6"/>
          <w:szCs w:val="6"/>
        </w:rPr>
      </w:pPr>
      <w:r>
        <w:rPr>
          <w:rFonts w:cs="David" w:ascii="David" w:hAnsi="David"/>
          <w:sz w:val="6"/>
          <w:szCs w:val="6"/>
          <w:rtl w:val="true"/>
        </w:rPr>
        <w:t>&lt;</w:t>
      </w:r>
      <w:r>
        <w:rPr>
          <w:rFonts w:cs="David" w:ascii="David" w:hAnsi="David"/>
          <w:sz w:val="6"/>
          <w:szCs w:val="6"/>
        </w:rPr>
        <w:t>#5#</w:t>
      </w:r>
      <w:r>
        <w:rPr>
          <w:rFonts w:cs="David" w:ascii="David" w:hAnsi="David"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מורה על עיכוב ביצוע גזר הדין למשך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יום מהיום</w:t>
      </w:r>
      <w:r>
        <w:rPr>
          <w:rtl w:val="true"/>
        </w:rPr>
        <w:t xml:space="preserve">.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 xml:space="preserve">הנדון יתייצב למאסרו </w:t>
      </w:r>
      <w:r>
        <w:rPr>
          <w:rFonts w:ascii="Arial" w:hAnsi="Arial" w:cs="Arial"/>
          <w:b/>
          <w:b/>
          <w:bCs/>
          <w:rtl w:val="true"/>
        </w:rPr>
        <w:t xml:space="preserve">בבית מעצר קישון </w:t>
      </w:r>
      <w:r>
        <w:rPr>
          <w:rFonts w:ascii="Arial" w:hAnsi="Arial" w:cs="Arial"/>
          <w:b/>
          <w:b/>
          <w:bCs/>
          <w:rtl w:val="true"/>
        </w:rPr>
        <w:t xml:space="preserve">עד השעה </w:t>
      </w:r>
      <w:r>
        <w:rPr>
          <w:rFonts w:cs="Arial" w:ascii="Arial" w:hAnsi="Arial"/>
          <w:b/>
          <w:bCs/>
        </w:rPr>
        <w:t>10:00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או על פי החלטת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כשברשותו תעודת זהות או דרכון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על הנדון לתאם את הכניסה למאסר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כולל האפשרות למיון מוקדם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עם ענף אבחון ומיון של שב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ס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טלפונים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cs="Arial" w:ascii="Arial" w:hAnsi="Arial"/>
          <w:b/>
          <w:bCs/>
        </w:rPr>
        <w:t>08-9787377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08-9787336</w:t>
      </w:r>
      <w:r>
        <w:rPr>
          <w:rFonts w:cs="Arial" w:ascii="Arial" w:hAnsi="Arial"/>
          <w:b/>
          <w:bCs/>
          <w:rtl w:val="true"/>
        </w:rPr>
        <w:t>.</w:t>
      </w:r>
      <w:r>
        <w:rPr>
          <w:rFonts w:cs="Arial" w:ascii="Arial" w:hAnsi="Arial"/>
          <w:b/>
          <w:bCs/>
          <w:rtl w:val="true"/>
        </w:rPr>
        <w:t xml:space="preserve"> </w:t>
      </w:r>
    </w:p>
    <w:p>
      <w:pPr>
        <w:pStyle w:val="Normal"/>
        <w:autoSpaceDE w:val="false"/>
        <w:spacing w:lineRule="auto" w:line="360"/>
        <w:ind w:end="0"/>
        <w:jc w:val="both"/>
        <w:rPr>
          <w:rFonts w:ascii="Arial" w:hAnsi="Arial" w:cs="Arial"/>
          <w:b/>
          <w:bCs/>
          <w:sz w:val="6"/>
          <w:szCs w:val="6"/>
        </w:rPr>
      </w:pPr>
      <w:r>
        <w:rPr>
          <w:rFonts w:cs="Arial" w:ascii="Arial" w:hAnsi="Arial"/>
          <w:b/>
          <w:bCs/>
          <w:sz w:val="6"/>
          <w:szCs w:val="6"/>
          <w:rtl w:val="true"/>
        </w:rPr>
        <w:t>&lt;</w:t>
      </w:r>
      <w:r>
        <w:rPr>
          <w:rFonts w:cs="Arial" w:ascii="Arial" w:hAnsi="Arial"/>
          <w:b/>
          <w:bCs/>
          <w:sz w:val="6"/>
          <w:szCs w:val="6"/>
        </w:rPr>
        <w:t>#6#</w:t>
      </w:r>
      <w:r>
        <w:rPr>
          <w:rFonts w:cs="Arial" w:ascii="Arial" w:hAnsi="Arial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ניתנה והודעה היום ט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חשוון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22/10/2015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תאופיק כתילי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יבגניה</w:t>
      </w:r>
      <w:r>
        <w:rPr>
          <w:rtl w:val="true"/>
        </w:rPr>
        <w:t xml:space="preserve"> </w:t>
      </w:r>
      <w:r>
        <w:rPr>
          <w:rtl w:val="true"/>
        </w:rPr>
        <w:t>דורין</w:t>
      </w:r>
      <w:r>
        <w:rPr>
          <w:rtl w:val="true"/>
        </w:rPr>
        <w:t>-</w:t>
      </w:r>
      <w:r>
        <w:rPr>
          <w:rtl w:val="true"/>
        </w:rPr>
        <w:t>מלמוד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5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13281-07-13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עמיד פלאח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360"/>
      </w:pPr>
      <w:rPr>
        <w:b w:val="false"/>
        <w:bCs w:val="false"/>
        <w:rFonts w:cs="Times New Roman"/>
      </w:rPr>
    </w:lvl>
    <w:lvl w:ilvl="1">
      <w:start w:val="1"/>
      <w:numFmt w:val="hebrew1"/>
      <w:lvlText w:val="%2."/>
      <w:lvlJc w:val="center"/>
      <w:pPr>
        <w:tabs>
          <w:tab w:val="num" w:pos="1440"/>
        </w:tabs>
        <w:ind w:start="1440" w:hanging="360"/>
      </w:pPr>
      <w:rPr>
        <w:rFonts w:cs="David"/>
      </w:rPr>
    </w:lvl>
    <w:lvl w:ilvl="2">
      <w:start w:val="1"/>
      <w:numFmt w:val="decimal"/>
      <w:lvlText w:val="%1.%2.%3."/>
      <w:lvlJc w:val="start"/>
      <w:pPr>
        <w:tabs>
          <w:tab w:val="num" w:pos="1944"/>
        </w:tabs>
        <w:ind w:start="1944" w:hanging="504"/>
      </w:pPr>
      <w:rPr>
        <w:rFonts w:cs="Times New Roman"/>
      </w:rPr>
    </w:lvl>
    <w:lvl w:ilvl="3">
      <w:start w:val="1"/>
      <w:numFmt w:val="decimal"/>
      <w:lvlText w:val="%1.%2.%3.%4."/>
      <w:lvlJc w:val="start"/>
      <w:pPr>
        <w:tabs>
          <w:tab w:val="num" w:pos="2448"/>
        </w:tabs>
        <w:ind w:start="2448" w:hanging="648"/>
      </w:pPr>
      <w:rPr>
        <w:rFonts w:cs="Times New Roman"/>
      </w:rPr>
    </w:lvl>
    <w:lvl w:ilvl="4">
      <w:start w:val="1"/>
      <w:numFmt w:val="decimal"/>
      <w:lvlText w:val="%1.%2.%3.%4.%5."/>
      <w:lvlJc w:val="start"/>
      <w:pPr>
        <w:tabs>
          <w:tab w:val="num" w:pos="3240"/>
        </w:tabs>
        <w:ind w:start="2952" w:hanging="792"/>
      </w:pPr>
      <w:rPr>
        <w:rFonts w:cs="Times New Roman"/>
      </w:rPr>
    </w:lvl>
    <w:lvl w:ilvl="5">
      <w:start w:val="1"/>
      <w:numFmt w:val="decimal"/>
      <w:lvlText w:val="%1.%2.%3.%4.%5.%6."/>
      <w:lvlJc w:val="start"/>
      <w:pPr>
        <w:tabs>
          <w:tab w:val="num" w:pos="3600"/>
        </w:tabs>
        <w:ind w:start="3456" w:hanging="936"/>
      </w:pPr>
      <w:rPr>
        <w:rFonts w:cs="Times New Roman"/>
      </w:rPr>
    </w:lvl>
    <w:lvl w:ilvl="6">
      <w:start w:val="1"/>
      <w:numFmt w:val="decimal"/>
      <w:lvlText w:val="%1.%2.%3.%4.%5.%6.%7."/>
      <w:lvlJc w:val="start"/>
      <w:pPr>
        <w:tabs>
          <w:tab w:val="num" w:pos="4320"/>
        </w:tabs>
        <w:ind w:start="396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start"/>
      <w:pPr>
        <w:tabs>
          <w:tab w:val="num" w:pos="4680"/>
        </w:tabs>
        <w:ind w:start="446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start"/>
      <w:pPr>
        <w:tabs>
          <w:tab w:val="num" w:pos="5040"/>
        </w:tabs>
        <w:ind w:start="504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  <w:b w:val="false"/>
      <w:bCs w:val="false"/>
    </w:rPr>
  </w:style>
  <w:style w:type="character" w:styleId="WW8Num1z1">
    <w:name w:val="WW8Num1z1"/>
    <w:qFormat/>
    <w:rPr>
      <w:rFonts w:cs="David"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340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340a" TargetMode="External"/><Relationship Id="rId8" Type="http://schemas.openxmlformats.org/officeDocument/2006/relationships/hyperlink" Target="http://www.nevo.co.il/case/5969313" TargetMode="External"/><Relationship Id="rId9" Type="http://schemas.openxmlformats.org/officeDocument/2006/relationships/hyperlink" Target="http://www.nevo.co.il/case/4276387" TargetMode="External"/><Relationship Id="rId10" Type="http://schemas.openxmlformats.org/officeDocument/2006/relationships/hyperlink" Target="http://www.nevo.co.il/case/8291683" TargetMode="External"/><Relationship Id="rId11" Type="http://schemas.openxmlformats.org/officeDocument/2006/relationships/hyperlink" Target="http://www.nevo.co.il/case/5578534" TargetMode="External"/><Relationship Id="rId12" Type="http://schemas.openxmlformats.org/officeDocument/2006/relationships/hyperlink" Target="http://www.nevo.co.il/case/6857343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248029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2016-08-07T14:14:00Z</dcterms:created>
  <dc:creator> </dc:creator>
  <dc:description/>
  <cp:keywords/>
  <dc:language>en-IL</dc:language>
  <cp:lastModifiedBy>hofit</cp:lastModifiedBy>
  <dcterms:modified xsi:type="dcterms:W3CDTF">2016-08-07T14:14:00Z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עמיד פלאח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5969313;4276387;8291683;5578534;6857343;5852404;6248029</vt:lpwstr>
  </property>
  <property fmtid="{D5CDD505-2E9C-101B-9397-08002B2CF9AE}" pid="10" name="CITY">
    <vt:lpwstr>נצ'</vt:lpwstr>
  </property>
  <property fmtid="{D5CDD505-2E9C-101B-9397-08002B2CF9AE}" pid="11" name="DATE">
    <vt:lpwstr>20151022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תאופיק כתילי</vt:lpwstr>
  </property>
  <property fmtid="{D5CDD505-2E9C-101B-9397-08002B2CF9AE}" pid="15" name="LAWLISTTMP1">
    <vt:lpwstr>70301/144.b;340a</vt:lpwstr>
  </property>
  <property fmtid="{D5CDD505-2E9C-101B-9397-08002B2CF9AE}" pid="16" name="LAWYER">
    <vt:lpwstr>ו ניזאר עבוד מהסנגוריה הציבורית;רים בראנסה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13281</vt:lpwstr>
  </property>
  <property fmtid="{D5CDD505-2E9C-101B-9397-08002B2CF9AE}" pid="23" name="NEWPARTB">
    <vt:lpwstr>07</vt:lpwstr>
  </property>
  <property fmtid="{D5CDD505-2E9C-101B-9397-08002B2CF9AE}" pid="24" name="NEWPARTC">
    <vt:lpwstr>13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390020151022</vt:lpwstr>
  </property>
  <property fmtid="{D5CDD505-2E9C-101B-9397-08002B2CF9AE}" pid="35" name="TYPE_N_DATE">
    <vt:lpwstr>39020151022</vt:lpwstr>
  </property>
  <property fmtid="{D5CDD505-2E9C-101B-9397-08002B2CF9AE}" pid="36" name="VOLUME">
    <vt:lpwstr/>
  </property>
  <property fmtid="{D5CDD505-2E9C-101B-9397-08002B2CF9AE}" pid="37" name="WORDNUMPAGES">
    <vt:lpwstr>7</vt:lpwstr>
  </property>
</Properties>
</file>