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Cs/>
                <w:sz w:val="26"/>
                <w:szCs w:val="26"/>
              </w:rPr>
              <w:t>13291-03-12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חושיה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חושיה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פארס שמאסנה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numPr>
          <w:ilvl w:val="0"/>
          <w:numId w:val="0"/>
        </w:numPr>
        <w:ind w:hanging="0" w:start="0" w:end="0"/>
        <w:jc w:val="start"/>
        <w:outlineLvl w:val="0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-p"/>
        <w:numPr>
          <w:ilvl w:val="0"/>
          <w:numId w:val="0"/>
        </w:numPr>
        <w:bidi w:val="1"/>
        <w:ind w:hanging="0" w:start="0" w:end="0"/>
        <w:jc w:val="start"/>
        <w:outlineLvl w:val="0"/>
        <w:rPr/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המאשימה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רים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בראנסה</w:t>
      </w:r>
    </w:p>
    <w:p>
      <w:pPr>
        <w:pStyle w:val="12-p"/>
        <w:numPr>
          <w:ilvl w:val="0"/>
          <w:numId w:val="0"/>
        </w:numPr>
        <w:bidi w:val="1"/>
        <w:ind w:hanging="0" w:start="0" w:end="0"/>
        <w:jc w:val="start"/>
        <w:outlineLvl w:val="0"/>
        <w:rPr/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הנאשם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</w:rPr>
        <w:t>1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הובא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וע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י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סרי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חורי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בהעברה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מעו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מונדר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אבו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אחמד</w:t>
      </w:r>
    </w:p>
    <w:p>
      <w:pPr>
        <w:pStyle w:val="12-p"/>
        <w:numPr>
          <w:ilvl w:val="0"/>
          <w:numId w:val="0"/>
        </w:numPr>
        <w:bidi w:val="1"/>
        <w:ind w:hanging="0" w:start="0" w:end="0"/>
        <w:jc w:val="start"/>
        <w:outlineLvl w:val="0"/>
        <w:rPr/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הנאשם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</w:rPr>
        <w:t>2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הובא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וע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י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סרי</w:t>
      </w:r>
      <w:r>
        <w:rPr>
          <w:rStyle w:val="12-h1"/>
          <w:rFonts w:eastAsia="Times New Roman"/>
          <w:rtl w:val="true"/>
        </w:rPr>
        <w:t xml:space="preserve"> </w:t>
      </w:r>
      <w:r>
        <w:rPr>
          <w:rStyle w:val="12-h1"/>
          <w:rFonts w:cs="David"/>
          <w:rtl w:val="true"/>
        </w:rPr>
        <w:t>חורי</w:t>
      </w:r>
    </w:p>
    <w:p>
      <w:pPr>
        <w:pStyle w:val="Normal"/>
        <w:spacing w:lineRule="auto" w:line="360"/>
        <w:ind w:firstLine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start="0" w:firstLine="360" w:end="0"/>
        <w:jc w:val="both"/>
        <w:outlineLvl w:val="0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numPr>
          <w:ilvl w:val="0"/>
          <w:numId w:val="0"/>
        </w:numPr>
        <w:spacing w:lineRule="exact" w:line="240" w:before="0" w:after="120"/>
        <w:ind w:hanging="283" w:start="283" w:end="0"/>
        <w:jc w:val="both"/>
        <w:outlineLvl w:val="0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exact" w:line="240" w:before="0" w:after="120"/>
        <w:ind w:hanging="283" w:start="283" w:end="0"/>
        <w:jc w:val="both"/>
        <w:outlineLvl w:val="0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numPr>
          <w:ilvl w:val="0"/>
          <w:numId w:val="0"/>
        </w:numPr>
        <w:spacing w:lineRule="exact" w:line="240" w:before="0" w:after="120"/>
        <w:ind w:hanging="283" w:start="283" w:end="0"/>
        <w:jc w:val="both"/>
        <w:outlineLvl w:val="0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numPr>
          <w:ilvl w:val="0"/>
          <w:numId w:val="0"/>
        </w:numPr>
        <w:spacing w:lineRule="exact" w:line="240" w:before="0" w:after="120"/>
        <w:ind w:hanging="283" w:start="283" w:end="0"/>
        <w:jc w:val="both"/>
        <w:outlineLvl w:val="0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</w:p>
    <w:p>
      <w:pPr>
        <w:pStyle w:val="Normal"/>
        <w:numPr>
          <w:ilvl w:val="0"/>
          <w:numId w:val="0"/>
        </w:numPr>
        <w:spacing w:lineRule="exact" w:line="240" w:before="0" w:after="120"/>
        <w:ind w:hanging="283" w:start="283" w:end="0"/>
        <w:jc w:val="both"/>
        <w:outlineLvl w:val="0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numPr>
          <w:ilvl w:val="0"/>
          <w:numId w:val="0"/>
        </w:numPr>
        <w:spacing w:lineRule="auto" w:line="360"/>
        <w:ind w:start="0" w:firstLine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bookmarkStart w:id="10" w:name="ABSTRACT_START"/>
      <w:bookmarkEnd w:id="10"/>
      <w:r>
        <w:rPr>
          <w:rtl w:val="true"/>
        </w:rPr>
        <w:t>הנאשמים הורשעו</w:t>
      </w:r>
      <w:r>
        <w:rPr>
          <w:rtl w:val="true"/>
        </w:rPr>
        <w:t xml:space="preserve">, </w:t>
      </w:r>
      <w:r>
        <w:rPr>
          <w:rtl w:val="true"/>
        </w:rPr>
        <w:t>על פי הודאתם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בנשק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b/>
          <w:b/>
          <w:bCs/>
          <w:rtl w:val="true"/>
        </w:rPr>
        <w:t>ל</w:t>
      </w:r>
      <w:hyperlink r:id="rId4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התפרצות לבית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כניסה לישראל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; </w:t>
      </w:r>
      <w:r>
        <w:rPr>
          <w:rtl w:val="true"/>
        </w:rPr>
        <w:t>היזק במזיד לרכוש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במסגרת האישום הראשון</w:t>
      </w:r>
      <w:bookmarkStart w:id="11" w:name="ABSTRACT_END"/>
      <w:bookmarkEnd w:id="11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 של התפרצות לבית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כניסה לישראל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>והיזק במזיד לרכוש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במסגרת האישום 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נוסף על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בעבירות של התפרצות לבית מגורים </w:t>
      </w:r>
      <w:r>
        <w:rPr>
          <w:rtl w:val="true"/>
        </w:rPr>
        <w:t>(</w:t>
      </w:r>
      <w:r>
        <w:rPr>
          <w:b/>
          <w:b/>
          <w:bCs/>
          <w:rtl w:val="true"/>
        </w:rPr>
        <w:t>שני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גניבה </w:t>
      </w:r>
      <w:r>
        <w:rPr>
          <w:rtl w:val="true"/>
        </w:rPr>
        <w:t>(</w:t>
      </w:r>
      <w:r>
        <w:rPr>
          <w:b/>
          <w:b/>
          <w:bCs/>
          <w:rtl w:val="true"/>
        </w:rPr>
        <w:t>שני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כניסה לישראל שלא כדין </w:t>
      </w:r>
      <w:r>
        <w:rPr>
          <w:rtl w:val="true"/>
        </w:rPr>
        <w:t>(</w:t>
      </w:r>
      <w:r>
        <w:rPr>
          <w:b/>
          <w:b/>
          <w:bCs/>
          <w:rtl w:val="true"/>
        </w:rPr>
        <w:t>שני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 xml:space="preserve">והיזק במזיד לרכוש </w:t>
      </w:r>
      <w:r>
        <w:rPr>
          <w:rtl w:val="true"/>
        </w:rPr>
        <w:t>(</w:t>
      </w:r>
      <w:r>
        <w:rPr>
          <w:b/>
          <w:b/>
          <w:bCs/>
          <w:rtl w:val="true"/>
        </w:rPr>
        <w:t>שני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במסגרת האישום השלישי והרביעי</w:t>
      </w:r>
      <w:r>
        <w:rPr>
          <w:rtl w:val="true"/>
        </w:rPr>
        <w:t xml:space="preserve">. </w:t>
      </w:r>
      <w:r>
        <w:rPr>
          <w:rtl w:val="true"/>
        </w:rPr>
        <w:t xml:space="preserve">כן הורשע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במסגרת האישום הרביעי</w:t>
      </w:r>
      <w:r>
        <w:rPr>
          <w:rtl w:val="true"/>
        </w:rPr>
        <w:t xml:space="preserve">, </w:t>
      </w:r>
      <w:r>
        <w:rPr>
          <w:rtl w:val="true"/>
        </w:rPr>
        <w:t>בקשירת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rtl w:val="true"/>
        </w:rPr>
        <w:t xml:space="preserve">אישום ראשון </w:t>
      </w:r>
      <w:r>
        <w:rPr>
          <w:b/>
          <w:bCs/>
          <w:rtl w:val="true"/>
        </w:rPr>
        <w:t>-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הנאשמים מתגוררים ביישוב </w:t>
      </w:r>
      <w:r>
        <w:rPr>
          <w:rtl w:val="true"/>
        </w:rPr>
        <w:t>"</w:t>
      </w:r>
      <w:r>
        <w:rPr>
          <w:rtl w:val="true"/>
        </w:rPr>
        <w:t>קטנה</w:t>
      </w:r>
      <w:r>
        <w:rPr>
          <w:rtl w:val="true"/>
        </w:rPr>
        <w:t xml:space="preserve">" </w:t>
      </w:r>
      <w:r>
        <w:rPr>
          <w:rtl w:val="true"/>
        </w:rPr>
        <w:t>שבשטחי הרשות הפלשתינית ואין בידם היתר כניסה לישראל</w:t>
      </w:r>
      <w:r>
        <w:rPr>
          <w:rtl w:val="true"/>
        </w:rPr>
        <w:t xml:space="preserve">. </w:t>
      </w:r>
      <w:r>
        <w:rPr>
          <w:rtl w:val="true"/>
        </w:rPr>
        <w:t>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12/1/12</w:t>
      </w:r>
      <w:r>
        <w:rPr>
          <w:rtl w:val="true"/>
        </w:rPr>
        <w:t xml:space="preserve"> </w:t>
      </w:r>
      <w:r>
        <w:rPr>
          <w:rtl w:val="true"/>
        </w:rPr>
        <w:t>או סמוך לו</w:t>
      </w:r>
      <w:r>
        <w:rPr>
          <w:rtl w:val="true"/>
        </w:rPr>
        <w:t xml:space="preserve">, </w:t>
      </w:r>
      <w:r>
        <w:rPr>
          <w:rtl w:val="true"/>
        </w:rPr>
        <w:t>קשרו הנאשמים קשר להתפרץ לבית מגורים בקרית שמונה על מנת לגנוב ממנו רכוש</w:t>
      </w:r>
      <w:r>
        <w:rPr>
          <w:rtl w:val="true"/>
        </w:rPr>
        <w:t xml:space="preserve">. </w:t>
      </w:r>
      <w:r>
        <w:rPr>
          <w:rtl w:val="true"/>
        </w:rPr>
        <w:t>בהתאם לקשר ולשם מימושו</w:t>
      </w:r>
      <w:r>
        <w:rPr>
          <w:rtl w:val="true"/>
        </w:rPr>
        <w:t xml:space="preserve">, </w:t>
      </w:r>
      <w:r>
        <w:rPr>
          <w:rtl w:val="true"/>
        </w:rPr>
        <w:t xml:space="preserve">נכנסו הנאשמים לארץ שלא כדין והגיעו ביום </w:t>
      </w:r>
      <w:r>
        <w:rPr/>
        <w:t>12/1/12</w:t>
      </w:r>
      <w:r>
        <w:rPr>
          <w:rtl w:val="true"/>
        </w:rPr>
        <w:t xml:space="preserve"> </w:t>
      </w:r>
      <w:r>
        <w:rPr>
          <w:rtl w:val="true"/>
        </w:rPr>
        <w:t>לקרית שמונה</w:t>
      </w:r>
      <w:r>
        <w:rPr>
          <w:rtl w:val="true"/>
        </w:rPr>
        <w:t xml:space="preserve">, </w:t>
      </w:r>
      <w:r>
        <w:rPr>
          <w:rtl w:val="true"/>
        </w:rPr>
        <w:t>סמוך לבית משפחת סבח</w:t>
      </w:r>
      <w:r>
        <w:rPr>
          <w:rtl w:val="true"/>
        </w:rPr>
        <w:t xml:space="preserve">, </w:t>
      </w:r>
      <w:r>
        <w:rPr>
          <w:rtl w:val="true"/>
        </w:rPr>
        <w:t xml:space="preserve">הנמצא ברחוב ישראל ברזילי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בקרית שמונה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>הנאשמים הסיטו את מצלמת האבטחה שבחצר על מנת שזו לא תצלם את פעולתם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19:40</w:t>
      </w:r>
      <w:r>
        <w:rPr>
          <w:rtl w:val="true"/>
        </w:rPr>
        <w:t xml:space="preserve"> </w:t>
      </w:r>
      <w:r>
        <w:rPr>
          <w:rtl w:val="true"/>
        </w:rPr>
        <w:t>התפרצו הנאשמים אל הבית</w:t>
      </w:r>
      <w:r>
        <w:rPr>
          <w:rtl w:val="true"/>
        </w:rPr>
        <w:t xml:space="preserve">, </w:t>
      </w:r>
      <w:r>
        <w:rPr>
          <w:rtl w:val="true"/>
        </w:rPr>
        <w:t>בכוונה לגנוב מתוכו</w:t>
      </w:r>
      <w:r>
        <w:rPr>
          <w:rtl w:val="true"/>
        </w:rPr>
        <w:t xml:space="preserve">, </w:t>
      </w:r>
      <w:r>
        <w:rPr>
          <w:rtl w:val="true"/>
        </w:rPr>
        <w:t>בכך שפתחו את דלת ההזזה שבסלון ונכנסו דרכה אל תוך הבית</w:t>
      </w:r>
      <w:r>
        <w:rPr>
          <w:rtl w:val="true"/>
        </w:rPr>
        <w:t xml:space="preserve">. </w:t>
      </w:r>
      <w:r>
        <w:rPr>
          <w:rtl w:val="true"/>
        </w:rPr>
        <w:t>הנאשמים עקרו את קופסת פיקוד מערכת האזעקה הסמוכה לדלת הכניסה</w:t>
      </w:r>
      <w:r>
        <w:rPr>
          <w:rtl w:val="true"/>
        </w:rPr>
        <w:t xml:space="preserve">, </w:t>
      </w:r>
      <w:r>
        <w:rPr>
          <w:rtl w:val="true"/>
        </w:rPr>
        <w:t>בכוונה לחבל בפעולתה</w:t>
      </w:r>
      <w:r>
        <w:rPr>
          <w:rtl w:val="true"/>
        </w:rPr>
        <w:t xml:space="preserve">. </w:t>
      </w:r>
      <w:r>
        <w:rPr>
          <w:rtl w:val="true"/>
        </w:rPr>
        <w:t>בהיותם בבית</w:t>
      </w:r>
      <w:r>
        <w:rPr>
          <w:rtl w:val="true"/>
        </w:rPr>
        <w:t xml:space="preserve">, </w:t>
      </w:r>
      <w:r>
        <w:rPr>
          <w:rtl w:val="true"/>
        </w:rPr>
        <w:t>פתחו וחיטטו בארונות</w:t>
      </w:r>
      <w:r>
        <w:rPr>
          <w:rtl w:val="true"/>
        </w:rPr>
        <w:t xml:space="preserve">, </w:t>
      </w:r>
      <w:r>
        <w:rPr>
          <w:rtl w:val="true"/>
        </w:rPr>
        <w:t>שידות ומקומות נוספים</w:t>
      </w:r>
      <w:r>
        <w:rPr>
          <w:rtl w:val="true"/>
        </w:rPr>
        <w:t xml:space="preserve">, </w:t>
      </w:r>
      <w:r>
        <w:rPr>
          <w:rtl w:val="true"/>
        </w:rPr>
        <w:t>תוך שהוציאו את תכולתם – בחפשם אחר רכוש לגנבו</w:t>
      </w:r>
      <w:r>
        <w:rPr>
          <w:rtl w:val="true"/>
        </w:rPr>
        <w:t xml:space="preserve">. </w:t>
      </w:r>
      <w:r>
        <w:rPr>
          <w:rtl w:val="true"/>
        </w:rPr>
        <w:t xml:space="preserve">הנאשמים גנבו מהבית טלפון נייד מסוג </w:t>
      </w:r>
      <w:r>
        <w:rPr>
          <w:rtl w:val="true"/>
        </w:rPr>
        <w:t>"</w:t>
      </w:r>
      <w:r>
        <w:rPr>
          <w:rtl w:val="true"/>
        </w:rPr>
        <w:t>אייפון</w:t>
      </w:r>
      <w:r>
        <w:rPr>
          <w:rtl w:val="true"/>
        </w:rPr>
        <w:t xml:space="preserve">", </w:t>
      </w:r>
      <w:r>
        <w:rPr>
          <w:rtl w:val="true"/>
        </w:rPr>
        <w:t xml:space="preserve">שלושה מכשירי טלפון נייד נוספים וכן מכשיר </w:t>
      </w:r>
      <w:r>
        <w:rPr>
          <w:rtl w:val="true"/>
        </w:rPr>
        <w:t>"</w:t>
      </w:r>
      <w:r>
        <w:rPr>
          <w:rtl w:val="true"/>
        </w:rPr>
        <w:t>אייפוד</w:t>
      </w:r>
      <w:r>
        <w:rPr>
          <w:rtl w:val="true"/>
        </w:rPr>
        <w:t xml:space="preserve">". </w:t>
      </w:r>
      <w:r>
        <w:rPr>
          <w:rtl w:val="true"/>
        </w:rPr>
        <w:t>הנאשמים איתרו את כספת המשפחה שנמצאה בארון בחדר השינה ואשר הכילה תכשיטים יקרי ערך וגנבו אותה על תכולתה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איתרו הנאשמים כספת נוספת שהיתה מקובעת לקיר במקלט הבית</w:t>
      </w:r>
      <w:r>
        <w:rPr>
          <w:rtl w:val="true"/>
        </w:rPr>
        <w:t xml:space="preserve">, </w:t>
      </w:r>
      <w:r>
        <w:rPr>
          <w:rtl w:val="true"/>
        </w:rPr>
        <w:t>עקרו אותה וגנבו אף אותה מן הבית</w:t>
      </w:r>
      <w:r>
        <w:rPr>
          <w:rtl w:val="true"/>
        </w:rPr>
        <w:t xml:space="preserve">. </w:t>
      </w:r>
      <w:r>
        <w:rPr>
          <w:rtl w:val="true"/>
        </w:rPr>
        <w:t xml:space="preserve">מכספת זו גנבו הנאשמים אקדח מסוג יריחו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04534</w:t>
      </w:r>
      <w:r>
        <w:rPr>
          <w:rtl w:val="true"/>
        </w:rPr>
        <w:t xml:space="preserve">), </w:t>
      </w:r>
      <w:r>
        <w:rPr>
          <w:rtl w:val="true"/>
        </w:rPr>
        <w:t>אשר הוחזק ברישיון ע</w:t>
      </w:r>
      <w:r>
        <w:rPr>
          <w:rtl w:val="true"/>
        </w:rPr>
        <w:t>"</w:t>
      </w:r>
      <w:r>
        <w:rPr>
          <w:rtl w:val="true"/>
        </w:rPr>
        <w:t xml:space="preserve">י בעל הבית וכסף מזומן בסך </w:t>
      </w:r>
      <w:r>
        <w:rPr/>
        <w:t>3,200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</w:rPr>
      </w:pPr>
      <w:r>
        <w:rPr>
          <w:b/>
          <w:b/>
          <w:bCs/>
          <w:rtl w:val="true"/>
        </w:rPr>
        <w:t xml:space="preserve">אישום שני </w:t>
      </w:r>
      <w:r>
        <w:rPr>
          <w:b/>
          <w:bCs/>
          <w:rtl w:val="true"/>
        </w:rPr>
        <w:t xml:space="preserve">-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במסגרת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1/2/12</w:t>
      </w:r>
      <w:r>
        <w:rPr>
          <w:rtl w:val="true"/>
        </w:rPr>
        <w:t xml:space="preserve"> </w:t>
      </w:r>
      <w:r>
        <w:rPr>
          <w:rtl w:val="true"/>
        </w:rPr>
        <w:t>או סמוך לו</w:t>
      </w:r>
      <w:r>
        <w:rPr>
          <w:rtl w:val="true"/>
        </w:rPr>
        <w:t xml:space="preserve">, </w:t>
      </w:r>
      <w:r>
        <w:rPr>
          <w:rtl w:val="true"/>
        </w:rPr>
        <w:t xml:space="preserve">החליטו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ואחרים להתפרץ לבית מגורים בצפון על מנת לגנוב ממנו רכוש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והאחרים נכנסו לארץ שלא כדין והגיעו ביום </w:t>
      </w:r>
      <w:r>
        <w:rPr/>
        <w:t>1/2/12</w:t>
      </w:r>
      <w:r>
        <w:rPr>
          <w:rtl w:val="true"/>
        </w:rPr>
        <w:t xml:space="preserve"> </w:t>
      </w:r>
      <w:r>
        <w:rPr>
          <w:rtl w:val="true"/>
        </w:rPr>
        <w:t>לישוב מכמנים</w:t>
      </w:r>
      <w:r>
        <w:rPr>
          <w:rtl w:val="true"/>
        </w:rPr>
        <w:t xml:space="preserve">, </w:t>
      </w:r>
      <w:r>
        <w:rPr>
          <w:rtl w:val="true"/>
        </w:rPr>
        <w:t xml:space="preserve">סמוך לבית משפחת קפלן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 xml:space="preserve">סמוך לשעה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 xml:space="preserve">התפרצו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והאחרים אל הבית</w:t>
      </w:r>
      <w:r>
        <w:rPr>
          <w:rtl w:val="true"/>
        </w:rPr>
        <w:t xml:space="preserve">, </w:t>
      </w:r>
      <w:r>
        <w:rPr>
          <w:rtl w:val="true"/>
        </w:rPr>
        <w:t>בכוונה לגנוב מתוכו</w:t>
      </w:r>
      <w:r>
        <w:rPr>
          <w:rtl w:val="true"/>
        </w:rPr>
        <w:t xml:space="preserve">, </w:t>
      </w:r>
      <w:r>
        <w:rPr>
          <w:rtl w:val="true"/>
        </w:rPr>
        <w:t xml:space="preserve">בכך שפתחו את חלונות הקומה הראשונה </w:t>
      </w:r>
      <w:r>
        <w:rPr>
          <w:rtl w:val="true"/>
        </w:rPr>
        <w:t xml:space="preserve">- </w:t>
      </w:r>
      <w:r>
        <w:rPr>
          <w:rtl w:val="true"/>
        </w:rPr>
        <w:t>תוך שהם שוברים סורגים ותריסים – ונכנסו דרכם אל תוך הבית</w:t>
      </w:r>
      <w:r>
        <w:rPr>
          <w:rtl w:val="true"/>
        </w:rPr>
        <w:t xml:space="preserve">. </w:t>
      </w:r>
      <w:r>
        <w:rPr>
          <w:rtl w:val="true"/>
        </w:rPr>
        <w:t>בהיותם בבית</w:t>
      </w:r>
      <w:r>
        <w:rPr>
          <w:rtl w:val="true"/>
        </w:rPr>
        <w:t>, "</w:t>
      </w:r>
      <w:r>
        <w:rPr>
          <w:rtl w:val="true"/>
        </w:rPr>
        <w:t>הפכו</w:t>
      </w:r>
      <w:r>
        <w:rPr>
          <w:rtl w:val="true"/>
        </w:rPr>
        <w:t xml:space="preserve">" </w:t>
      </w:r>
      <w:r>
        <w:rPr>
          <w:rtl w:val="true"/>
        </w:rPr>
        <w:t>את הבית תוך שהוציאו את תכולת הארונות – בחפשם אחר דבר לגנבו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והאחרים גנבו מכל חדרי הבית </w:t>
      </w:r>
      <w:r>
        <w:rPr>
          <w:rtl w:val="true"/>
        </w:rPr>
        <w:t>(</w:t>
      </w:r>
      <w:r>
        <w:rPr>
          <w:rtl w:val="true"/>
        </w:rPr>
        <w:t>ומהמשרד שבתוך הבית</w:t>
      </w:r>
      <w:r>
        <w:rPr>
          <w:rtl w:val="true"/>
        </w:rPr>
        <w:t xml:space="preserve">) </w:t>
      </w:r>
      <w:r>
        <w:rPr>
          <w:rtl w:val="true"/>
        </w:rPr>
        <w:t xml:space="preserve">כסף מזומן בסך </w:t>
      </w:r>
      <w:r>
        <w:rPr/>
        <w:t>7,300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כן גנבו חמישה מדי חום דיגיטליים</w:t>
      </w:r>
      <w:r>
        <w:rPr>
          <w:rtl w:val="true"/>
        </w:rPr>
        <w:t xml:space="preserve">. </w:t>
      </w:r>
      <w:r>
        <w:rPr>
          <w:rtl w:val="true"/>
        </w:rPr>
        <w:t>נוכח הגעת בן משפחה לבית</w:t>
      </w:r>
      <w:r>
        <w:rPr>
          <w:rtl w:val="true"/>
        </w:rPr>
        <w:t xml:space="preserve">, </w:t>
      </w:r>
      <w:r>
        <w:rPr>
          <w:rtl w:val="true"/>
        </w:rPr>
        <w:t>ברחו מהחלון ונמלטו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</w:rPr>
      </w:pPr>
      <w:r>
        <w:rPr>
          <w:b/>
          <w:b/>
          <w:bCs/>
          <w:rtl w:val="true"/>
        </w:rPr>
        <w:t xml:space="preserve">אישום שלישי </w:t>
      </w:r>
      <w:r>
        <w:rPr>
          <w:b/>
          <w:bCs/>
          <w:rtl w:val="true"/>
        </w:rPr>
        <w:t xml:space="preserve">-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במסגרת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21/4/11</w:t>
      </w:r>
      <w:r>
        <w:rPr>
          <w:rtl w:val="true"/>
        </w:rPr>
        <w:t xml:space="preserve"> </w:t>
      </w:r>
      <w:r>
        <w:rPr>
          <w:rtl w:val="true"/>
        </w:rPr>
        <w:t>או סמוך לו</w:t>
      </w:r>
      <w:r>
        <w:rPr>
          <w:rtl w:val="true"/>
        </w:rPr>
        <w:t xml:space="preserve">, </w:t>
      </w:r>
      <w:r>
        <w:rPr>
          <w:rtl w:val="true"/>
        </w:rPr>
        <w:t xml:space="preserve">התפרצו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ואחרים לבית מגורים בקרית שמונה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והאחרים נכנסו לארץ שלא כדין והגיעו ביום </w:t>
      </w:r>
      <w:r>
        <w:rPr/>
        <w:t>21/4/11</w:t>
      </w:r>
      <w:r>
        <w:rPr>
          <w:rtl w:val="true"/>
        </w:rPr>
        <w:t xml:space="preserve"> </w:t>
      </w:r>
      <w:r>
        <w:rPr>
          <w:rtl w:val="true"/>
        </w:rPr>
        <w:t>לקרית שמונה</w:t>
      </w:r>
      <w:r>
        <w:rPr>
          <w:rtl w:val="true"/>
        </w:rPr>
        <w:t xml:space="preserve">, </w:t>
      </w:r>
      <w:r>
        <w:rPr>
          <w:rtl w:val="true"/>
        </w:rPr>
        <w:t>סמוך לבית משפחת אודיז</w:t>
      </w:r>
      <w:r>
        <w:rPr>
          <w:rtl w:val="true"/>
        </w:rPr>
        <w:t xml:space="preserve">, </w:t>
      </w:r>
      <w:r>
        <w:rPr>
          <w:rtl w:val="true"/>
        </w:rPr>
        <w:t xml:space="preserve">הנמצא ברחוב המחתרת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בקרית שמונה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והאחרים התפרצו אל הבית</w:t>
      </w:r>
      <w:r>
        <w:rPr>
          <w:rtl w:val="true"/>
        </w:rPr>
        <w:t xml:space="preserve">, </w:t>
      </w:r>
      <w:r>
        <w:rPr>
          <w:rtl w:val="true"/>
        </w:rPr>
        <w:t>בכוונה לגנוב מתוכו</w:t>
      </w:r>
      <w:r>
        <w:rPr>
          <w:rtl w:val="true"/>
        </w:rPr>
        <w:t xml:space="preserve">, </w:t>
      </w:r>
      <w:r>
        <w:rPr>
          <w:rtl w:val="true"/>
        </w:rPr>
        <w:t>בכך שעקרו את סורג חלון האמבטיה</w:t>
      </w:r>
      <w:r>
        <w:rPr>
          <w:rtl w:val="true"/>
        </w:rPr>
        <w:t xml:space="preserve">, </w:t>
      </w:r>
      <w:r>
        <w:rPr>
          <w:rtl w:val="true"/>
        </w:rPr>
        <w:t>פתחו אותו ונכנסו דרכו אל תוך הבית</w:t>
      </w:r>
      <w:r>
        <w:rPr>
          <w:rtl w:val="true"/>
        </w:rPr>
        <w:t xml:space="preserve">. </w:t>
      </w:r>
      <w:r>
        <w:rPr>
          <w:rtl w:val="true"/>
        </w:rPr>
        <w:t>בהיותם בבית</w:t>
      </w:r>
      <w:r>
        <w:rPr>
          <w:rtl w:val="true"/>
        </w:rPr>
        <w:t xml:space="preserve">, </w:t>
      </w:r>
      <w:r>
        <w:rPr>
          <w:rtl w:val="true"/>
        </w:rPr>
        <w:t>פתחו וחיטטו בארונות</w:t>
      </w:r>
      <w:r>
        <w:rPr>
          <w:rtl w:val="true"/>
        </w:rPr>
        <w:t xml:space="preserve">, </w:t>
      </w:r>
      <w:r>
        <w:rPr>
          <w:rtl w:val="true"/>
        </w:rPr>
        <w:t>שידות ומקומות נוספים</w:t>
      </w:r>
      <w:r>
        <w:rPr>
          <w:rtl w:val="true"/>
        </w:rPr>
        <w:t xml:space="preserve">, </w:t>
      </w:r>
      <w:r>
        <w:rPr>
          <w:rtl w:val="true"/>
        </w:rPr>
        <w:t>תוך שהוציאו את תכולתם – בחפשם אחר רכוש לגנבו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הגיעו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והאחרים לקומת הכניסה</w:t>
      </w:r>
      <w:r>
        <w:rPr>
          <w:rtl w:val="true"/>
        </w:rPr>
        <w:t xml:space="preserve">, </w:t>
      </w:r>
      <w:r>
        <w:rPr>
          <w:rtl w:val="true"/>
        </w:rPr>
        <w:t>שם איתרו את כספת המשפחה</w:t>
      </w:r>
      <w:r>
        <w:rPr>
          <w:rtl w:val="true"/>
        </w:rPr>
        <w:t xml:space="preserve">, </w:t>
      </w:r>
      <w:r>
        <w:rPr>
          <w:rtl w:val="true"/>
        </w:rPr>
        <w:t>עקרו אותה מן הקיר וגנבו אותה מן הבית</w:t>
      </w:r>
      <w:r>
        <w:rPr>
          <w:rtl w:val="true"/>
        </w:rPr>
        <w:t xml:space="preserve">. </w:t>
      </w:r>
      <w:r>
        <w:rPr>
          <w:rtl w:val="true"/>
        </w:rPr>
        <w:t xml:space="preserve">הכספת שגנבו הנאשמים הכילה כסף מזומן בסך </w:t>
      </w:r>
      <w:r>
        <w:rPr/>
        <w:t>10,000</w:t>
      </w:r>
      <w:r>
        <w:rPr>
          <w:rtl w:val="true"/>
        </w:rPr>
        <w:t xml:space="preserve"> ₪,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tl w:val="true"/>
        </w:rPr>
        <w:t xml:space="preserve">, </w:t>
      </w:r>
      <w:r>
        <w:rPr>
          <w:rtl w:val="true"/>
        </w:rPr>
        <w:t>תכשיטים ושעונים יקרי ערך</w:t>
      </w:r>
      <w:r>
        <w:rPr>
          <w:rtl w:val="true"/>
        </w:rPr>
        <w:t xml:space="preserve">, </w:t>
      </w:r>
      <w:r>
        <w:rPr>
          <w:rtl w:val="true"/>
        </w:rPr>
        <w:t>דרכונים של בני המשפחה ומסמכים 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</w:rPr>
      </w:pPr>
      <w:r>
        <w:rPr>
          <w:b/>
          <w:b/>
          <w:bCs/>
          <w:rtl w:val="true"/>
        </w:rPr>
        <w:t xml:space="preserve">אישום רביעי </w:t>
      </w:r>
      <w:r>
        <w:rPr>
          <w:b/>
          <w:bCs/>
          <w:rtl w:val="true"/>
        </w:rPr>
        <w:t xml:space="preserve">-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במסגרת האישום הרביעי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19/6/11</w:t>
      </w:r>
      <w:r>
        <w:rPr>
          <w:rtl w:val="true"/>
        </w:rPr>
        <w:t xml:space="preserve"> </w:t>
      </w:r>
      <w:r>
        <w:rPr>
          <w:rtl w:val="true"/>
        </w:rPr>
        <w:t>או סמוך לו</w:t>
      </w:r>
      <w:r>
        <w:rPr>
          <w:rtl w:val="true"/>
        </w:rPr>
        <w:t xml:space="preserve">, </w:t>
      </w:r>
      <w:r>
        <w:rPr>
          <w:rtl w:val="true"/>
        </w:rPr>
        <w:t xml:space="preserve">קשר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 עם אחרים להתפרץ לבית מגורים באזור הצפון על מנת לגנוב ממנו רכוש</w:t>
      </w:r>
      <w:r>
        <w:rPr>
          <w:rtl w:val="true"/>
        </w:rPr>
        <w:t xml:space="preserve">. </w:t>
      </w:r>
      <w:r>
        <w:rPr>
          <w:rtl w:val="true"/>
        </w:rPr>
        <w:t>בהתאם לקשר ולשם מימושו</w:t>
      </w:r>
      <w:r>
        <w:rPr>
          <w:rtl w:val="true"/>
        </w:rPr>
        <w:t xml:space="preserve">, </w:t>
      </w:r>
      <w:r>
        <w:rPr>
          <w:rtl w:val="true"/>
        </w:rPr>
        <w:t xml:space="preserve">נכנס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לארץ שלא כדין והגיע ביום </w:t>
      </w:r>
      <w:r>
        <w:rPr/>
        <w:t>19/6/11</w:t>
      </w:r>
      <w:r>
        <w:rPr>
          <w:rtl w:val="true"/>
        </w:rPr>
        <w:t xml:space="preserve"> </w:t>
      </w:r>
      <w:r>
        <w:rPr>
          <w:rtl w:val="true"/>
        </w:rPr>
        <w:t>לישוב הררית</w:t>
      </w:r>
      <w:r>
        <w:rPr>
          <w:rtl w:val="true"/>
        </w:rPr>
        <w:t xml:space="preserve">, </w:t>
      </w:r>
      <w:r>
        <w:rPr>
          <w:rtl w:val="true"/>
        </w:rPr>
        <w:t>סמוך לבית משפחת יוסף – שהינם אנשים קשישים בני כ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והאחרים התפרצו אל הבית</w:t>
      </w:r>
      <w:r>
        <w:rPr>
          <w:rtl w:val="true"/>
        </w:rPr>
        <w:t xml:space="preserve">, </w:t>
      </w:r>
      <w:r>
        <w:rPr>
          <w:rtl w:val="true"/>
        </w:rPr>
        <w:t>בכוונה לגנוב מתוכו</w:t>
      </w:r>
      <w:r>
        <w:rPr>
          <w:rtl w:val="true"/>
        </w:rPr>
        <w:t xml:space="preserve">, </w:t>
      </w:r>
      <w:r>
        <w:rPr>
          <w:rtl w:val="true"/>
        </w:rPr>
        <w:t>בכך שנכנסו לתוך הבית דרך חלון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>
          <w:rtl w:val="true"/>
        </w:rPr>
        <w:t>"</w:t>
      </w:r>
      <w:r>
        <w:rPr>
          <w:rtl w:val="true"/>
        </w:rPr>
        <w:t>הפכו את הבית</w:t>
      </w:r>
      <w:r>
        <w:rPr>
          <w:rtl w:val="true"/>
        </w:rPr>
        <w:t xml:space="preserve">", </w:t>
      </w:r>
      <w:r>
        <w:rPr>
          <w:rtl w:val="true"/>
        </w:rPr>
        <w:t>הוציאו תכולת הארונות ופרצו כספת שהיתה ריקה בחדר השינה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עקרו הנאשמים מהקיר כספת שניה וגנבו אותה על תכולתה</w:t>
      </w:r>
      <w:r>
        <w:rPr>
          <w:rtl w:val="true"/>
        </w:rPr>
        <w:t xml:space="preserve">, </w:t>
      </w:r>
      <w:r>
        <w:rPr>
          <w:rtl w:val="true"/>
        </w:rPr>
        <w:t xml:space="preserve">בשוווי מוערך כולל של </w:t>
      </w:r>
      <w:r>
        <w:rPr/>
        <w:t>50,000</w:t>
      </w:r>
      <w:r>
        <w:rPr>
          <w:rtl w:val="true"/>
        </w:rPr>
        <w:t xml:space="preserve"> ₪: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tl w:val="true"/>
        </w:rPr>
        <w:t xml:space="preserve">,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שטרלינג</w:t>
      </w:r>
      <w:r>
        <w:rPr>
          <w:rtl w:val="true"/>
        </w:rPr>
        <w:t xml:space="preserve">,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תכשיטים יקרי ערך השייכים לאימו של בעל הבית ודרכונים</w:t>
      </w:r>
      <w:r>
        <w:rPr>
          <w:rtl w:val="true"/>
        </w:rPr>
        <w:t xml:space="preserve">. </w:t>
      </w:r>
      <w:r>
        <w:rPr>
          <w:rtl w:val="true"/>
        </w:rPr>
        <w:t>עוד ובנוסף</w:t>
      </w:r>
      <w:r>
        <w:rPr>
          <w:rtl w:val="true"/>
        </w:rPr>
        <w:t xml:space="preserve">, </w:t>
      </w:r>
      <w:r>
        <w:rPr>
          <w:rtl w:val="true"/>
        </w:rPr>
        <w:t xml:space="preserve">גנבו הנאשמים מחדר העבודה שבבית מצלמת קנון חדשה ששווייה </w:t>
      </w:r>
      <w:r>
        <w:rPr/>
        <w:t>6,500</w:t>
      </w:r>
      <w:r>
        <w:rPr>
          <w:rtl w:val="true"/>
        </w:rPr>
        <w:t xml:space="preserve"> ₪, </w:t>
      </w:r>
      <w:r>
        <w:rPr>
          <w:rtl w:val="true"/>
        </w:rPr>
        <w:t xml:space="preserve">מצלמת סוני ששווייה </w:t>
      </w:r>
      <w:r>
        <w:rPr/>
        <w:t>4,000</w:t>
      </w:r>
      <w:r>
        <w:rPr>
          <w:rtl w:val="true"/>
        </w:rPr>
        <w:t xml:space="preserve"> ₪, </w:t>
      </w:r>
      <w:r>
        <w:rPr>
          <w:rtl w:val="true"/>
        </w:rPr>
        <w:t xml:space="preserve">מחשב נייד מסוג </w:t>
      </w:r>
      <w:r>
        <w:rPr/>
        <w:t>HP</w:t>
      </w:r>
      <w:r>
        <w:rPr>
          <w:rtl w:val="true"/>
        </w:rPr>
        <w:t xml:space="preserve"> </w:t>
      </w:r>
      <w:r>
        <w:rPr>
          <w:rtl w:val="true"/>
        </w:rPr>
        <w:t>וכן את מכשיר הטלפון הנייד של בעל 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המאשימה עמדה בטיעוניה על חומרת עבירות הרכוש</w:t>
      </w:r>
      <w:r>
        <w:rPr>
          <w:rtl w:val="true"/>
        </w:rPr>
        <w:t xml:space="preserve">, </w:t>
      </w:r>
      <w:r>
        <w:rPr>
          <w:rtl w:val="true"/>
        </w:rPr>
        <w:t>אשר גורמות לנזק כלכלי רב</w:t>
      </w:r>
      <w:r>
        <w:rPr>
          <w:rtl w:val="true"/>
        </w:rPr>
        <w:t xml:space="preserve">, </w:t>
      </w:r>
      <w:r>
        <w:rPr>
          <w:rtl w:val="true"/>
        </w:rPr>
        <w:t>ולפגיעה קשה בקרבנות העבירה</w:t>
      </w:r>
      <w:r>
        <w:rPr>
          <w:rtl w:val="true"/>
        </w:rPr>
        <w:t xml:space="preserve">, </w:t>
      </w:r>
      <w:r>
        <w:rPr>
          <w:rtl w:val="true"/>
        </w:rPr>
        <w:t>ברמה האישית והנפשית</w:t>
      </w:r>
      <w:r>
        <w:rPr>
          <w:rtl w:val="true"/>
        </w:rPr>
        <w:t xml:space="preserve">. </w:t>
      </w:r>
      <w:r>
        <w:rPr>
          <w:rtl w:val="true"/>
        </w:rPr>
        <w:t>חומרת מעשיהם של הנאשמים נובעת מכך שההתפרצויות בוצעו בחבורה</w:t>
      </w:r>
      <w:r>
        <w:rPr>
          <w:rtl w:val="true"/>
        </w:rPr>
        <w:t xml:space="preserve">, </w:t>
      </w:r>
      <w:r>
        <w:rPr>
          <w:rtl w:val="true"/>
        </w:rPr>
        <w:t>בשיטתיות</w:t>
      </w:r>
      <w:r>
        <w:rPr>
          <w:rtl w:val="true"/>
        </w:rPr>
        <w:t xml:space="preserve">, </w:t>
      </w:r>
      <w:r>
        <w:rPr>
          <w:rtl w:val="true"/>
        </w:rPr>
        <w:t>תוך גרימת נזק רב ותוך שהנאשמים עושים דרכם מרחק מאות קילומטרים מן השטחים ועד לבית בצפון הארץ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הנאשמים היו מעורבים בגניבת נשק</w:t>
      </w:r>
      <w:r>
        <w:rPr>
          <w:rtl w:val="true"/>
        </w:rPr>
        <w:t xml:space="preserve">, </w:t>
      </w:r>
      <w:r>
        <w:rPr>
          <w:rtl w:val="true"/>
        </w:rPr>
        <w:t>כשמקום הימצאו של הנשק לא נמסר והוא לא הושב לבעליו</w:t>
      </w:r>
      <w:r>
        <w:rPr>
          <w:rtl w:val="true"/>
        </w:rPr>
        <w:t xml:space="preserve">. </w:t>
      </w:r>
      <w:r>
        <w:rPr>
          <w:rtl w:val="true"/>
        </w:rPr>
        <w:t>באשר לכך</w:t>
      </w:r>
      <w:r>
        <w:rPr>
          <w:rtl w:val="true"/>
        </w:rPr>
        <w:t xml:space="preserve">, </w:t>
      </w:r>
      <w:r>
        <w:rPr>
          <w:rtl w:val="true"/>
        </w:rPr>
        <w:t>בתי המשפט חזרו וקבעו כי יש להחמיר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>בשל זמינותו של הנשק החם והפוטנציאל ההרסני שלו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ציין כי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 פלילי מכביד</w:t>
      </w:r>
      <w:r>
        <w:rPr>
          <w:rtl w:val="true"/>
        </w:rPr>
        <w:t xml:space="preserve">, </w:t>
      </w:r>
      <w:r>
        <w:rPr>
          <w:rtl w:val="true"/>
        </w:rPr>
        <w:t>במהלכו ריצה מספר תקופות מאסר</w:t>
      </w:r>
      <w:r>
        <w:rPr>
          <w:rtl w:val="true"/>
        </w:rPr>
        <w:t xml:space="preserve">, </w:t>
      </w:r>
      <w:r>
        <w:rPr>
          <w:rtl w:val="true"/>
        </w:rPr>
        <w:t>לרבות בגין עבירות רכוש</w:t>
      </w:r>
      <w:r>
        <w:rPr>
          <w:rtl w:val="true"/>
        </w:rPr>
        <w:t xml:space="preserve">, </w:t>
      </w:r>
      <w:r>
        <w:rPr>
          <w:rtl w:val="true"/>
        </w:rPr>
        <w:t>וכן תלויות ועומדות נגדו שלוש תקופות מאסר מותנה להפעלה</w:t>
      </w:r>
      <w:r>
        <w:rPr>
          <w:rtl w:val="true"/>
        </w:rPr>
        <w:t xml:space="preserve">. </w:t>
      </w: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 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אך יש לזקוף לחובתו את היותו מבוגר בתשע שנים מהנאשם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ואת העובדה כי הורשע בהיקף רב יותר של 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לאור המפורט לעיל</w:t>
      </w:r>
      <w:r>
        <w:rPr>
          <w:rtl w:val="true"/>
        </w:rPr>
        <w:t xml:space="preserve">, </w:t>
      </w:r>
      <w:r>
        <w:rPr>
          <w:rtl w:val="true"/>
        </w:rPr>
        <w:t>ביקשה המאשימה להטיל על הנאשמים עונשי מאסר בפועל לתקופה ממושכת</w:t>
      </w:r>
      <w:r>
        <w:rPr>
          <w:rtl w:val="true"/>
        </w:rPr>
        <w:t xml:space="preserve">, </w:t>
      </w:r>
      <w:r>
        <w:rPr>
          <w:rtl w:val="true"/>
        </w:rPr>
        <w:t>אשר יהלמו את חומרת העבירות וישקפו את העובדה שהאישומים מבטאים אירועים נפרדים לגמרי</w:t>
      </w:r>
      <w:r>
        <w:rPr>
          <w:rtl w:val="true"/>
        </w:rPr>
        <w:t xml:space="preserve">, </w:t>
      </w:r>
      <w:r>
        <w:rPr>
          <w:rtl w:val="true"/>
        </w:rPr>
        <w:t>ואת הנזק הרבה שנגרם למתלוננים</w:t>
      </w:r>
      <w:r>
        <w:rPr>
          <w:rtl w:val="true"/>
        </w:rPr>
        <w:t xml:space="preserve">. </w:t>
      </w:r>
      <w:r>
        <w:rPr>
          <w:rtl w:val="true"/>
        </w:rPr>
        <w:t>כן התבקש בית</w:t>
      </w:r>
      <w:r>
        <w:rPr>
          <w:rtl w:val="true"/>
        </w:rPr>
        <w:t>-</w:t>
      </w:r>
      <w:r>
        <w:rPr>
          <w:rtl w:val="true"/>
        </w:rPr>
        <w:t xml:space="preserve">המשפט באשר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להפעיל את תקופות המאסר המותנה התלויות ועומדות נגדו</w:t>
      </w:r>
      <w:r>
        <w:rPr>
          <w:rtl w:val="true"/>
        </w:rPr>
        <w:t xml:space="preserve">, </w:t>
      </w:r>
      <w:r>
        <w:rPr>
          <w:rtl w:val="true"/>
        </w:rPr>
        <w:t>ולהטיל על שני הנאשמים מאסר מותנה מרתיע</w:t>
      </w:r>
      <w:r>
        <w:rPr>
          <w:rtl w:val="true"/>
        </w:rPr>
        <w:t xml:space="preserve">, </w:t>
      </w:r>
      <w:r>
        <w:rPr>
          <w:rtl w:val="true"/>
        </w:rPr>
        <w:t>קנס ופיצוי 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הנאשמים לעונש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יש להתחשב בהודאתו של הנאשם בהזדמנות הראשונה אשר חסכה שמיעתם של מספר רב של עדים</w:t>
      </w:r>
      <w:r>
        <w:rPr>
          <w:rtl w:val="true"/>
        </w:rPr>
        <w:t xml:space="preserve">, </w:t>
      </w:r>
      <w:r>
        <w:rPr>
          <w:rtl w:val="true"/>
        </w:rPr>
        <w:t>ומבטאת נטילת אחריות למעשים</w:t>
      </w:r>
      <w:r>
        <w:rPr>
          <w:rtl w:val="true"/>
        </w:rPr>
        <w:t xml:space="preserve">. </w:t>
      </w:r>
      <w:r>
        <w:rPr>
          <w:rtl w:val="true"/>
        </w:rPr>
        <w:t>אף שאין להקל ראש בעבירות שביצע הנאשם</w:t>
      </w:r>
      <w:r>
        <w:rPr>
          <w:rtl w:val="true"/>
        </w:rPr>
        <w:t xml:space="preserve">, </w:t>
      </w:r>
      <w:r>
        <w:rPr>
          <w:rtl w:val="true"/>
        </w:rPr>
        <w:t>ראוי לציין כי הוא  נדחף לביצוע המעשים עקב מצבו הכלכלי הגרוע המאפיין את תושבי האזור</w:t>
      </w:r>
      <w:r>
        <w:rPr>
          <w:rtl w:val="true"/>
        </w:rPr>
        <w:t xml:space="preserve">. </w:t>
      </w:r>
      <w:r>
        <w:rPr>
          <w:rtl w:val="true"/>
        </w:rPr>
        <w:t>כן קיים קושי לשכנע את בית</w:t>
      </w:r>
      <w:r>
        <w:rPr>
          <w:rtl w:val="true"/>
        </w:rPr>
        <w:t>-</w:t>
      </w:r>
      <w:r>
        <w:rPr>
          <w:rtl w:val="true"/>
        </w:rPr>
        <w:t>המשפט בדבר נחיצות ההליך השיקומי לנאשם</w:t>
      </w:r>
      <w:r>
        <w:rPr>
          <w:rtl w:val="true"/>
        </w:rPr>
        <w:t xml:space="preserve">, </w:t>
      </w:r>
      <w:r>
        <w:rPr>
          <w:rtl w:val="true"/>
        </w:rPr>
        <w:t>כיוון שהוא תושב האזור ולא ניתן להפנותו לגורמי הטיפול בתוך ישראל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הפיתרון לנאשם ראוי שיהיה בגישה שיקומית</w:t>
      </w:r>
      <w:r>
        <w:rPr>
          <w:rtl w:val="true"/>
        </w:rPr>
        <w:t xml:space="preserve">. </w:t>
      </w:r>
      <w:r>
        <w:rPr>
          <w:rtl w:val="true"/>
        </w:rPr>
        <w:t>לנאשם קיים קושי בגיוס כספים לצורך תשלום קנס ופיצויים</w:t>
      </w:r>
      <w:r>
        <w:rPr>
          <w:rtl w:val="true"/>
        </w:rPr>
        <w:t xml:space="preserve">, </w:t>
      </w:r>
      <w:r>
        <w:rPr>
          <w:rtl w:val="true"/>
        </w:rPr>
        <w:t>אך אין להחמיר עמו יותר על המידה בהטלת תקופת מאסר ממושכת בשל 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בדבריו בבית המשפט מסר כי הוא מצטער על מה שעשה</w:t>
      </w:r>
      <w:r>
        <w:rPr>
          <w:rtl w:val="true"/>
        </w:rPr>
        <w:t xml:space="preserve">, </w:t>
      </w:r>
      <w:r>
        <w:rPr>
          <w:rtl w:val="true"/>
        </w:rPr>
        <w:t>הוא מבקש הזדמנות</w:t>
      </w:r>
      <w:r>
        <w:rPr>
          <w:rtl w:val="true"/>
        </w:rPr>
        <w:t xml:space="preserve">, </w:t>
      </w:r>
      <w:r>
        <w:rPr>
          <w:rtl w:val="true"/>
        </w:rPr>
        <w:t>הואיל וכל רצונו היה לסייע בפרנסת 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 כי יש להתחשב בהודאתו ובחרטה שהוא מביע על אשר אירע</w:t>
      </w:r>
      <w:r>
        <w:rPr>
          <w:rtl w:val="true"/>
        </w:rPr>
        <w:t xml:space="preserve">. </w:t>
      </w:r>
      <w:r>
        <w:rPr>
          <w:rtl w:val="true"/>
        </w:rPr>
        <w:t>מדובר באדם נורמטיבי שעד לביצוע העבירות דנן ניהל אורח חיים רגיל</w:t>
      </w:r>
      <w:r>
        <w:rPr>
          <w:rtl w:val="true"/>
        </w:rPr>
        <w:t xml:space="preserve">, </w:t>
      </w:r>
      <w:r>
        <w:rPr>
          <w:rtl w:val="true"/>
        </w:rPr>
        <w:t>עבד לפרנסתו והקים משפחה</w:t>
      </w:r>
      <w:r>
        <w:rPr>
          <w:rtl w:val="true"/>
        </w:rPr>
        <w:t xml:space="preserve">. </w:t>
      </w:r>
      <w:r>
        <w:rPr>
          <w:rtl w:val="true"/>
        </w:rPr>
        <w:t>עברו הפלילי נקי</w:t>
      </w:r>
      <w:r>
        <w:rPr>
          <w:rtl w:val="true"/>
        </w:rPr>
        <w:t xml:space="preserve">. </w:t>
      </w:r>
      <w:r>
        <w:rPr>
          <w:rtl w:val="true"/>
        </w:rPr>
        <w:t>ביצוע העבירות נעוץ במצבו הכלכלי הקשה</w:t>
      </w:r>
      <w:r>
        <w:rPr>
          <w:rtl w:val="true"/>
        </w:rPr>
        <w:t xml:space="preserve">, </w:t>
      </w:r>
      <w:r>
        <w:rPr>
          <w:rtl w:val="true"/>
        </w:rPr>
        <w:t>והנאשם עקב מעצרו כבר חווה על בשרו את המחיר הכבד בגין ביצוען</w:t>
      </w:r>
      <w:r>
        <w:rPr>
          <w:rtl w:val="true"/>
        </w:rPr>
        <w:t xml:space="preserve">. </w:t>
      </w:r>
      <w:r>
        <w:rPr>
          <w:rtl w:val="true"/>
        </w:rPr>
        <w:t>במהלך מעצרו נולד לנאשם תינוק</w:t>
      </w:r>
      <w:r>
        <w:rPr>
          <w:rtl w:val="true"/>
        </w:rPr>
        <w:t xml:space="preserve">, </w:t>
      </w:r>
      <w:r>
        <w:rPr>
          <w:rtl w:val="true"/>
        </w:rPr>
        <w:t>שנפטר בבית</w:t>
      </w:r>
      <w:r>
        <w:rPr>
          <w:rtl w:val="true"/>
        </w:rPr>
        <w:t>-</w:t>
      </w:r>
      <w:r>
        <w:rPr>
          <w:rtl w:val="true"/>
        </w:rPr>
        <w:t>החולים עם לידתו</w:t>
      </w:r>
      <w:r>
        <w:rPr>
          <w:rtl w:val="true"/>
        </w:rPr>
        <w:t xml:space="preserve">. </w:t>
      </w:r>
      <w:r>
        <w:rPr>
          <w:rtl w:val="true"/>
        </w:rPr>
        <w:t>יש להתחשב בנסיבותיו האישיות בעת גזירת דינו ולהקל 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 כי הוא מתחרט על המעשים והביע התנצלות בפני המתלוננים</w:t>
      </w:r>
      <w:r>
        <w:rPr>
          <w:rtl w:val="true"/>
        </w:rPr>
        <w:t xml:space="preserve">. </w:t>
      </w:r>
      <w:r>
        <w:rPr>
          <w:rtl w:val="true"/>
        </w:rPr>
        <w:t>הוא ביקש מבית</w:t>
      </w:r>
      <w:r>
        <w:rPr>
          <w:rtl w:val="true"/>
        </w:rPr>
        <w:t>-</w:t>
      </w:r>
      <w:r>
        <w:rPr>
          <w:rtl w:val="true"/>
        </w:rPr>
        <w:t>המשפט לתת לו הזדמנות כדי להתחיל דף חדש למען משפחתו</w:t>
      </w:r>
      <w:r>
        <w:rPr>
          <w:rtl w:val="true"/>
        </w:rPr>
        <w:t xml:space="preserve">. </w:t>
      </w:r>
      <w:r>
        <w:rPr>
          <w:rtl w:val="true"/>
        </w:rPr>
        <w:t>המצוקה הכספית היא שדחפה אותו לביצוע המעשים</w:t>
      </w:r>
      <w:r>
        <w:rPr>
          <w:rtl w:val="true"/>
        </w:rPr>
        <w:t xml:space="preserve">, </w:t>
      </w:r>
      <w:r>
        <w:rPr>
          <w:rtl w:val="true"/>
        </w:rPr>
        <w:t>לאחר שהתקשה במציאת מקום עבודה</w:t>
      </w:r>
      <w:r>
        <w:rPr>
          <w:rtl w:val="true"/>
        </w:rPr>
        <w:t xml:space="preserve">. </w:t>
      </w:r>
      <w:r>
        <w:rPr>
          <w:rtl w:val="true"/>
        </w:rPr>
        <w:t>הוא ביקש את התחשבות בית</w:t>
      </w:r>
      <w:r>
        <w:rPr>
          <w:rtl w:val="true"/>
        </w:rPr>
        <w:t>-</w:t>
      </w:r>
      <w:r>
        <w:rPr>
          <w:rtl w:val="true"/>
        </w:rPr>
        <w:t>המשפט לאור העובדה שמדובר בפעם הראשונה שהוא מבצע עבירות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הוגש גיליון רישום פלילי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לו ארבע הרשעות קודמות בעבירות של התחזות</w:t>
      </w:r>
      <w:r>
        <w:rPr>
          <w:rtl w:val="true"/>
        </w:rPr>
        <w:t xml:space="preserve">, </w:t>
      </w:r>
      <w:r>
        <w:rPr>
          <w:rtl w:val="true"/>
        </w:rPr>
        <w:t>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>כניסה לישראל שלא כדין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ניסיון גניבה וזיוף</w:t>
      </w:r>
      <w:r>
        <w:rPr>
          <w:rtl w:val="true"/>
        </w:rPr>
        <w:t xml:space="preserve">. </w:t>
      </w:r>
      <w:r>
        <w:rPr>
          <w:rtl w:val="true"/>
        </w:rPr>
        <w:t>עוד הוגש לגביו מסמך מרשויות שב</w:t>
      </w:r>
      <w:r>
        <w:rPr>
          <w:rtl w:val="true"/>
        </w:rPr>
        <w:t>"</w:t>
      </w:r>
      <w:r>
        <w:rPr>
          <w:rtl w:val="true"/>
        </w:rPr>
        <w:t xml:space="preserve">ס המפרט את תקופות המאסר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לפיו שוחרר ממאסרו האחרון ביום </w:t>
      </w:r>
      <w:r>
        <w:rPr/>
        <w:t>17/10/10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שהעבירות בתיק דנן בוצעו בתוך תקופות המאסר המותנה שהוטלו עליו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שלום תל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אביב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3583/09</w:t>
      </w:r>
      <w:r>
        <w:rPr>
          <w:rtl w:val="true"/>
        </w:rPr>
        <w:t xml:space="preserve"> 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 למשך שלוש שנים</w:t>
      </w:r>
      <w:r>
        <w:rPr>
          <w:rtl w:val="true"/>
        </w:rPr>
        <w:t xml:space="preserve">, </w:t>
      </w:r>
      <w:r>
        <w:rPr>
          <w:rtl w:val="true"/>
        </w:rPr>
        <w:t>בגין עבירה של כניסה לישראל שלא כדין</w:t>
      </w:r>
      <w:r>
        <w:rPr>
          <w:rtl w:val="true"/>
        </w:rPr>
        <w:t xml:space="preserve">, </w:t>
      </w:r>
      <w:r>
        <w:rPr>
          <w:rtl w:val="true"/>
        </w:rPr>
        <w:t>גזר דין זה הוטל על הנאשם תוך כדי שהוא מרצה תקופת מאסר בגין תיק קודם שלהלן</w:t>
      </w:r>
      <w:r>
        <w:rPr>
          <w:rtl w:val="true"/>
        </w:rPr>
        <w:t xml:space="preserve">), </w:t>
      </w:r>
      <w:r>
        <w:rPr>
          <w:rtl w:val="true"/>
        </w:rPr>
        <w:t>וב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ם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4334/09</w:t>
      </w:r>
      <w:r>
        <w:rPr>
          <w:rtl w:val="true"/>
        </w:rPr>
        <w:t xml:space="preserve"> 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 למשך שנתיים</w:t>
      </w:r>
      <w:r>
        <w:rPr>
          <w:rtl w:val="true"/>
        </w:rPr>
        <w:t xml:space="preserve">, </w:t>
      </w:r>
      <w:r>
        <w:rPr>
          <w:rtl w:val="true"/>
        </w:rPr>
        <w:t>בגין עבירת התפרצות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 למשך שנתיים</w:t>
      </w:r>
      <w:r>
        <w:rPr>
          <w:rtl w:val="true"/>
        </w:rPr>
        <w:t xml:space="preserve">, </w:t>
      </w:r>
      <w:r>
        <w:rPr>
          <w:rtl w:val="true"/>
        </w:rPr>
        <w:t xml:space="preserve">בגין כל עבירה על </w:t>
      </w:r>
      <w:hyperlink r:id="rId8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במסגרת הבאת הראיות לעונש נשמעה עדותו של אחד המתלוננים</w:t>
      </w:r>
      <w:r>
        <w:rPr>
          <w:rtl w:val="true"/>
        </w:rPr>
        <w:t xml:space="preserve">, </w:t>
      </w:r>
      <w:r>
        <w:rPr>
          <w:rtl w:val="true"/>
        </w:rPr>
        <w:t>שמעון סבח</w:t>
      </w:r>
      <w:r>
        <w:rPr>
          <w:rtl w:val="true"/>
        </w:rPr>
        <w:t xml:space="preserve">, </w:t>
      </w:r>
      <w:r>
        <w:rPr>
          <w:rtl w:val="true"/>
        </w:rPr>
        <w:t>המשמש כראש לשכת העיר קרית שמונה</w:t>
      </w:r>
      <w:r>
        <w:rPr>
          <w:rtl w:val="true"/>
        </w:rPr>
        <w:t xml:space="preserve">, </w:t>
      </w:r>
      <w:r>
        <w:rPr>
          <w:rtl w:val="true"/>
        </w:rPr>
        <w:t>וביתו נפרץ על</w:t>
      </w:r>
      <w:r>
        <w:rPr>
          <w:rtl w:val="true"/>
        </w:rPr>
        <w:t>-</w:t>
      </w:r>
      <w:r>
        <w:rPr>
          <w:rtl w:val="true"/>
        </w:rPr>
        <w:t>ידי שני הנאשמים</w:t>
      </w:r>
      <w:r>
        <w:rPr>
          <w:rtl w:val="true"/>
        </w:rPr>
        <w:t xml:space="preserve">. </w:t>
      </w:r>
      <w:r>
        <w:rPr>
          <w:rtl w:val="true"/>
        </w:rPr>
        <w:t>הוא דיבר על הטראומה הקשה שחוותה כל המשפחה בעקבות המקרה</w:t>
      </w:r>
      <w:r>
        <w:rPr>
          <w:rtl w:val="true"/>
        </w:rPr>
        <w:t xml:space="preserve">, </w:t>
      </w:r>
      <w:r>
        <w:rPr>
          <w:rtl w:val="true"/>
        </w:rPr>
        <w:t>ובעיקר בתו בת ה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החווה מצוקה נפשית עקב המקרה</w:t>
      </w:r>
      <w:r>
        <w:rPr>
          <w:rtl w:val="true"/>
        </w:rPr>
        <w:t xml:space="preserve">. </w:t>
      </w:r>
      <w:r>
        <w:rPr>
          <w:rtl w:val="true"/>
        </w:rPr>
        <w:t>הוא דיבר על תחושת הפגיעה הקשה בפרטיות</w:t>
      </w:r>
      <w:r>
        <w:rPr>
          <w:rtl w:val="true"/>
        </w:rPr>
        <w:t xml:space="preserve">, </w:t>
      </w:r>
      <w:r>
        <w:rPr>
          <w:rtl w:val="true"/>
        </w:rPr>
        <w:t>לאחר שהמשפחה מצאה את הבית הפוך לגמרי</w:t>
      </w:r>
      <w:r>
        <w:rPr>
          <w:rtl w:val="true"/>
        </w:rPr>
        <w:t xml:space="preserve">. </w:t>
      </w:r>
      <w:r>
        <w:rPr>
          <w:rtl w:val="true"/>
        </w:rPr>
        <w:t xml:space="preserve">הוגשו קבלות בגין הטיפולים הנפשיים לילדה בסך </w:t>
      </w:r>
      <w:r>
        <w:rPr/>
        <w:t>660</w:t>
      </w:r>
      <w:r>
        <w:rPr>
          <w:rtl w:val="true"/>
        </w:rPr>
        <w:t xml:space="preserve"> ₪ </w:t>
      </w:r>
      <w:r>
        <w:rPr>
          <w:rtl w:val="true"/>
        </w:rPr>
        <w:t>האחת ו</w:t>
      </w:r>
      <w:r>
        <w:rPr>
          <w:rtl w:val="true"/>
        </w:rPr>
        <w:t>-</w:t>
      </w:r>
      <w:r>
        <w:rPr/>
        <w:t>1,100</w:t>
      </w:r>
      <w:r>
        <w:rPr>
          <w:rtl w:val="true"/>
        </w:rPr>
        <w:t xml:space="preserve"> ₪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עבירות רכוש המבוצעות תוך פרציה לבתיהם הפרטיים של בני אדם הן רעה חולה</w:t>
      </w:r>
      <w:r>
        <w:rPr>
          <w:rtl w:val="true"/>
        </w:rPr>
        <w:t xml:space="preserve">, </w:t>
      </w:r>
      <w:r>
        <w:rPr>
          <w:rtl w:val="true"/>
        </w:rPr>
        <w:t>המהווה מקור דאגה לאזרחים ולפגיעה בתחושת הביטחון האישי שלהם</w:t>
      </w:r>
      <w:r>
        <w:rPr>
          <w:rtl w:val="true"/>
        </w:rPr>
        <w:t xml:space="preserve">. </w:t>
      </w:r>
      <w:r>
        <w:rPr>
          <w:rtl w:val="true"/>
        </w:rPr>
        <w:t>הפריצה גורמת לא רק לנזק כלכלי רב</w:t>
      </w:r>
      <w:r>
        <w:rPr>
          <w:rtl w:val="true"/>
        </w:rPr>
        <w:t xml:space="preserve">, </w:t>
      </w:r>
      <w:r>
        <w:rPr>
          <w:rtl w:val="true"/>
        </w:rPr>
        <w:t>אלא גם לעוגמת נפש רבה לקרבנות העבירות</w:t>
      </w:r>
      <w:r>
        <w:rPr>
          <w:rtl w:val="true"/>
        </w:rPr>
        <w:t xml:space="preserve">, </w:t>
      </w:r>
      <w:r>
        <w:rPr>
          <w:rtl w:val="true"/>
        </w:rPr>
        <w:t>לפגיעה בפרטיותם</w:t>
      </w:r>
      <w:r>
        <w:rPr>
          <w:rtl w:val="true"/>
        </w:rPr>
        <w:t xml:space="preserve">, </w:t>
      </w:r>
      <w:r>
        <w:rPr>
          <w:rtl w:val="true"/>
        </w:rPr>
        <w:t xml:space="preserve">ולתחושת חוסר אונים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7453/08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אואזנה</w:t>
      </w:r>
      <w:r>
        <w:rPr>
          <w:rtl w:val="true"/>
        </w:rPr>
        <w:t xml:space="preserve">, </w:t>
      </w:r>
      <w:r>
        <w:rPr/>
        <w:t>31/12/08</w:t>
      </w:r>
      <w:r>
        <w:rPr>
          <w:rtl w:val="true"/>
        </w:rPr>
        <w:t xml:space="preserve">). </w:t>
      </w:r>
      <w:r>
        <w:rPr>
          <w:rtl w:val="true"/>
        </w:rPr>
        <w:t>בית המשפט העליון חיווה דעתו באשר לעבירות ההתפרצות והגניבה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נקל לשער את החוויה הקשה העוברת על קרבנות הפריצה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בשובם לביתם והנה הפיכת סדום ועמורה בתוכו וחפצים וכסף נעלמו ואינם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ולעיתים קרובות משמעות הדבר היא כי הרכוש יירד לטמיון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 העבריין לא יילכד</w:t>
      </w:r>
      <w:r>
        <w:rPr>
          <w:rtl w:val="true"/>
        </w:rPr>
        <w:t>" (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1708/08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21/2/08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ובעניין אחר</w:t>
      </w:r>
      <w:r>
        <w:rPr>
          <w:rtl w:val="true"/>
        </w:rPr>
        <w:t xml:space="preserve">: </w:t>
        <w:tab/>
        <w:br/>
      </w:r>
    </w:p>
    <w:p>
      <w:pPr>
        <w:pStyle w:val="Normal"/>
        <w:spacing w:lineRule="auto" w:line="360"/>
        <w:ind w:start="1440" w:end="144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בעת מתן גזר הדין אסור לבית המשפט להתעלם מעגמת הנפש והבהלה הנגרמות לתושבים שלווים בעטין של 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לחשש של מאות משפחות לעזוב את ילדיהן המפוחדים לבדם בבית בעקבות החוויה הטראומטית שפקדה אותם או את שכניהם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ומהצער שנגרם עקב אובדן רכוש בעל ערך סנטימנטאלי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עבריינים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שפוקדים לילה לילה דירה באותה סביבה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מטילים למעשה את חיתיתם על אזור שלם ומשליטים טרור בין תושביו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העונש המוטל בשל מעשים כאלה חייב לתת ביטוי גם להיבט זה</w:t>
      </w:r>
      <w:r>
        <w:rPr>
          <w:b/>
          <w:bCs/>
          <w:rtl w:val="true"/>
        </w:rPr>
        <w:t>...</w:t>
      </w:r>
      <w:r>
        <w:rPr>
          <w:rtl w:val="true"/>
        </w:rPr>
        <w:t>" 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46/84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 ישראל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סבח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753</w:t>
      </w:r>
      <w:r>
        <w:rPr>
          <w:rtl w:val="true"/>
        </w:rPr>
        <w:t xml:space="preserve">- </w:t>
      </w:r>
      <w:r>
        <w:rPr/>
        <w:t>754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בעבירת ההתפרצות טמון גם סיכון ממשי לחיי אדם ולשלמות גופו</w:t>
      </w:r>
      <w:r>
        <w:rPr>
          <w:rtl w:val="true"/>
        </w:rPr>
        <w:t xml:space="preserve">, </w:t>
      </w:r>
      <w:r>
        <w:rPr>
          <w:rtl w:val="true"/>
        </w:rPr>
        <w:t>כאשר אפשר שבמהלך מעשה ההתפרצות</w:t>
      </w:r>
      <w:r>
        <w:rPr>
          <w:rtl w:val="true"/>
        </w:rPr>
        <w:t>,</w:t>
      </w:r>
      <w:r>
        <w:rPr>
          <w:rtl w:val="true"/>
        </w:rPr>
        <w:t>בעלי הבית יעמדו בסיכון חיים</w:t>
      </w:r>
      <w:r>
        <w:rPr>
          <w:rtl w:val="true"/>
        </w:rPr>
        <w:t xml:space="preserve">, </w:t>
      </w:r>
      <w:r>
        <w:rPr>
          <w:rtl w:val="true"/>
        </w:rPr>
        <w:t>והיו דברים מעולם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הנאשמים שלפניי</w:t>
      </w:r>
      <w:r>
        <w:rPr>
          <w:rtl w:val="true"/>
        </w:rPr>
        <w:t xml:space="preserve">, </w:t>
      </w:r>
      <w:r>
        <w:rPr>
          <w:rtl w:val="true"/>
        </w:rPr>
        <w:t>פעלו בצורה מאורגנת לביצוע מספר התפרצויות לבתים בצפון הארץ</w:t>
      </w:r>
      <w:r>
        <w:rPr>
          <w:rtl w:val="true"/>
        </w:rPr>
        <w:t xml:space="preserve">, </w:t>
      </w:r>
      <w:r>
        <w:rPr>
          <w:rtl w:val="true"/>
        </w:rPr>
        <w:t>תוך כניסה לישראל שלא כדין</w:t>
      </w:r>
      <w:r>
        <w:rPr>
          <w:rtl w:val="true"/>
        </w:rPr>
        <w:t xml:space="preserve">, </w:t>
      </w:r>
      <w:r>
        <w:rPr>
          <w:rtl w:val="true"/>
        </w:rPr>
        <w:t>גנבו כסף וחפצים בעלי ערך</w:t>
      </w:r>
      <w:r>
        <w:rPr>
          <w:rtl w:val="true"/>
        </w:rPr>
        <w:t xml:space="preserve">, </w:t>
      </w:r>
      <w:r>
        <w:rPr>
          <w:rtl w:val="true"/>
        </w:rPr>
        <w:t>והותירו את בעלי הבתים שנפרצו כואבים והמומים מן החדירה לביתם</w:t>
      </w:r>
      <w:r>
        <w:rPr>
          <w:rtl w:val="true"/>
        </w:rPr>
        <w:t>-</w:t>
      </w:r>
      <w:r>
        <w:rPr>
          <w:rtl w:val="true"/>
        </w:rPr>
        <w:t>מבצרם</w:t>
      </w:r>
      <w:r>
        <w:rPr>
          <w:rtl w:val="true"/>
        </w:rPr>
        <w:t xml:space="preserve">. </w:t>
      </w:r>
      <w:r>
        <w:rPr>
          <w:rtl w:val="true"/>
        </w:rPr>
        <w:t>מעשיהם של הנאשמים הנם חמורים ופגעו פגיעה קשה בפרטיות ובתחושת הביטחון האישי של נפגעי 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באחד מן המקרים</w:t>
      </w:r>
      <w:r>
        <w:rPr>
          <w:rtl w:val="true"/>
        </w:rPr>
        <w:t xml:space="preserve">, </w:t>
      </w:r>
      <w:r>
        <w:rPr>
          <w:rtl w:val="true"/>
        </w:rPr>
        <w:t>גנבו הנאשמים מבית משפחת סבח שבקרית שמונה</w:t>
      </w:r>
      <w:r>
        <w:rPr>
          <w:rtl w:val="true"/>
        </w:rPr>
        <w:t xml:space="preserve">, </w:t>
      </w:r>
      <w:r>
        <w:rPr>
          <w:rtl w:val="true"/>
        </w:rPr>
        <w:t>אקדח שהוחזק ברישיון על</w:t>
      </w:r>
      <w:r>
        <w:rPr>
          <w:rtl w:val="true"/>
        </w:rPr>
        <w:t>-</w:t>
      </w:r>
      <w:r>
        <w:rPr>
          <w:rtl w:val="true"/>
        </w:rPr>
        <w:t>ידי בעל הבית</w:t>
      </w:r>
      <w:r>
        <w:rPr>
          <w:rtl w:val="true"/>
        </w:rPr>
        <w:t xml:space="preserve">, </w:t>
      </w:r>
      <w:r>
        <w:rPr>
          <w:rtl w:val="true"/>
        </w:rPr>
        <w:t>ולפיכך הורשעו שניהם בעבירה של החזקת נשק</w:t>
      </w:r>
      <w:r>
        <w:rPr>
          <w:rtl w:val="true"/>
        </w:rPr>
        <w:t xml:space="preserve">. </w:t>
      </w:r>
      <w:r>
        <w:rPr>
          <w:rtl w:val="true"/>
        </w:rPr>
        <w:t>באשר לעבירה של החזקת נשק</w:t>
      </w:r>
      <w:r>
        <w:rPr>
          <w:rtl w:val="true"/>
        </w:rPr>
        <w:t xml:space="preserve">, </w:t>
      </w:r>
      <w:r>
        <w:rPr>
          <w:rtl w:val="true"/>
        </w:rPr>
        <w:t>בית המשפט העליון עמד בעבר על סיווגן של עבירת החזקת הנשק בהתאם למידת חומרתה</w:t>
      </w:r>
      <w:r>
        <w:rPr>
          <w:rtl w:val="true"/>
        </w:rPr>
        <w:t xml:space="preserve">, </w:t>
      </w:r>
      <w:r>
        <w:rPr>
          <w:rtl w:val="true"/>
        </w:rPr>
        <w:t xml:space="preserve">בהינתן נסיבות ההחזקה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ש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 מוך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)). </w:t>
      </w:r>
      <w:r>
        <w:rPr>
          <w:rtl w:val="true"/>
        </w:rPr>
        <w:t>כן הענישה בעבירות נשק צריכה לבטא את הסיכון הפוטנציאלי הטמון בכך שנשק מוחזק שלא כדין על ידי מי שלא הורשה לכך</w:t>
      </w:r>
      <w:r>
        <w:rPr>
          <w:rtl w:val="true"/>
        </w:rPr>
        <w:t xml:space="preserve">, </w:t>
      </w:r>
      <w:r>
        <w:rPr>
          <w:rtl w:val="true"/>
        </w:rPr>
        <w:t>ולא הוכשר לכך ולפיכך אינו מיומן בו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 בית המשפט דעתו לסוג הנשק המוחזק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 שלשמה הוא מוחזק ולסכנה המוחשית שיעשה בו שימוש</w:t>
      </w:r>
      <w:r>
        <w:rPr>
          <w:rtl w:val="true"/>
        </w:rPr>
        <w:t>" 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 ישראל 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ואוסיף לכך כי הסיכון הנשקף לציבור בשל החזקת נשק שלא כדין צריך להילקח בחשבון</w:t>
      </w:r>
      <w:r>
        <w:rPr>
          <w:rtl w:val="true"/>
        </w:rPr>
        <w:t xml:space="preserve">, </w:t>
      </w:r>
      <w:r>
        <w:rPr>
          <w:rtl w:val="true"/>
        </w:rPr>
        <w:t>גם אם הנשק אינו מוחזק כשלעצמו לשם ביצוע עבירות באמצעותו</w:t>
      </w:r>
      <w:r>
        <w:rPr>
          <w:rtl w:val="true"/>
        </w:rPr>
        <w:t xml:space="preserve">, </w:t>
      </w:r>
      <w:r>
        <w:rPr>
          <w:rtl w:val="true"/>
        </w:rPr>
        <w:t>או כאשר הגיע לידי המחזיק אגב ביצוען של עבירות רכוש</w:t>
      </w:r>
      <w:r>
        <w:rPr>
          <w:rtl w:val="true"/>
        </w:rPr>
        <w:t xml:space="preserve">, </w:t>
      </w:r>
      <w:r>
        <w:rPr>
          <w:rtl w:val="true"/>
        </w:rPr>
        <w:t>כגניבה או התפרצות</w:t>
      </w:r>
      <w:r>
        <w:rPr>
          <w:rtl w:val="true"/>
        </w:rPr>
        <w:t xml:space="preserve">. </w:t>
      </w:r>
      <w:r>
        <w:rPr>
          <w:rtl w:val="true"/>
        </w:rPr>
        <w:t>עצם נטילת הנשק מביתו של אדם אשר החזיק בו ברישיון</w:t>
      </w:r>
      <w:r>
        <w:rPr>
          <w:rtl w:val="true"/>
        </w:rPr>
        <w:t xml:space="preserve">, </w:t>
      </w:r>
      <w:r>
        <w:rPr>
          <w:rtl w:val="true"/>
        </w:rPr>
        <w:t>במהלך אירוע של התפרצות וגניבה</w:t>
      </w:r>
      <w:r>
        <w:rPr>
          <w:rtl w:val="true"/>
        </w:rPr>
        <w:t xml:space="preserve">, </w:t>
      </w:r>
      <w:r>
        <w:rPr>
          <w:rtl w:val="true"/>
        </w:rPr>
        <w:t>הנה חמורה כשלעצמה</w:t>
      </w:r>
      <w:r>
        <w:rPr>
          <w:rtl w:val="true"/>
        </w:rPr>
        <w:t xml:space="preserve">, </w:t>
      </w:r>
      <w:r>
        <w:rPr>
          <w:rtl w:val="true"/>
        </w:rPr>
        <w:t>וקיים צורך להרתיע עברייני רכוש בכוח מלהעז ליטול בידיהם כלי נשק שאין הם מורשים להחזיק בהם</w:t>
      </w:r>
      <w:r>
        <w:rPr>
          <w:rtl w:val="true"/>
        </w:rPr>
        <w:t xml:space="preserve">, </w:t>
      </w:r>
      <w:r>
        <w:rPr>
          <w:rtl w:val="true"/>
        </w:rPr>
        <w:t>וכאשר הפוטנציאל ההרסני הטמון בהחזקתם הנו עצום</w:t>
      </w:r>
      <w:r>
        <w:rPr>
          <w:rtl w:val="true"/>
        </w:rPr>
        <w:t xml:space="preserve">, </w:t>
      </w:r>
      <w:r>
        <w:rPr>
          <w:rtl w:val="true"/>
        </w:rPr>
        <w:t xml:space="preserve">שכן ניתן לשער להיכן אותם כלי נשק עלולים </w:t>
      </w:r>
      <w:r>
        <w:rPr>
          <w:rtl w:val="true"/>
        </w:rPr>
        <w:t>"</w:t>
      </w:r>
      <w:r>
        <w:rPr>
          <w:rtl w:val="true"/>
        </w:rPr>
        <w:t>להתגלגל</w:t>
      </w:r>
      <w:r>
        <w:rPr>
          <w:rtl w:val="true"/>
        </w:rPr>
        <w:t xml:space="preserve">". </w:t>
      </w:r>
      <w:r>
        <w:rPr>
          <w:rtl w:val="true"/>
        </w:rPr>
        <w:t>ויש להדגיש כי הנאשמים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פעלו על</w:t>
      </w:r>
      <w:r>
        <w:rPr>
          <w:rtl w:val="true"/>
        </w:rPr>
        <w:t>-</w:t>
      </w:r>
      <w:r>
        <w:rPr>
          <w:rtl w:val="true"/>
        </w:rPr>
        <w:t>מנת להסגיר את מקום הימצאו של הנשק אשר גנבו</w:t>
      </w:r>
      <w:r>
        <w:rPr>
          <w:rtl w:val="true"/>
        </w:rPr>
        <w:t xml:space="preserve">, </w:t>
      </w:r>
      <w:r>
        <w:rPr>
          <w:rtl w:val="true"/>
        </w:rPr>
        <w:t>ובכך טמונה חומרה נוספת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באשר לנאשם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יש לזקוף לחובתו את עברו הפלילי</w:t>
      </w:r>
      <w:r>
        <w:rPr>
          <w:rtl w:val="true"/>
        </w:rPr>
        <w:t xml:space="preserve">, </w:t>
      </w:r>
      <w:r>
        <w:rPr>
          <w:rtl w:val="true"/>
        </w:rPr>
        <w:t>בין היתר בעבירות רכוש וכניסה לישראל שלא כדין</w:t>
      </w:r>
      <w:r>
        <w:rPr>
          <w:rtl w:val="true"/>
        </w:rPr>
        <w:t xml:space="preserve">, </w:t>
      </w:r>
      <w:r>
        <w:rPr>
          <w:rtl w:val="true"/>
        </w:rPr>
        <w:t>ואת העובדה שהעבירות דנן בוצעו כאשר תלויות ועומדות נגדו שלוש תקופות מאסר מותנה</w:t>
      </w:r>
      <w:r>
        <w:rPr>
          <w:rtl w:val="true"/>
        </w:rPr>
        <w:t xml:space="preserve">, </w:t>
      </w:r>
      <w:r>
        <w:rPr>
          <w:rtl w:val="true"/>
        </w:rPr>
        <w:t>אשר למרבה הצער לא הועילו בהרתעתו מביצוע המעשים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אמנם 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אולם ראוי לציין כי היקף המעשים המיוחסים לו הנו גדול מזה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שכן מיוחסים לו שלושה מקרי התפרצות שונים</w:t>
      </w:r>
      <w:r>
        <w:rPr>
          <w:rtl w:val="true"/>
        </w:rPr>
        <w:t xml:space="preserve">, </w:t>
      </w:r>
      <w:r>
        <w:rPr>
          <w:rtl w:val="true"/>
        </w:rPr>
        <w:t xml:space="preserve">ולנאשם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מיוחסים שני מקרים 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הגם שעמדו לנגד עיני הנסיבות האישיות של שני הנאשמים</w:t>
      </w:r>
      <w:r>
        <w:rPr>
          <w:rtl w:val="true"/>
        </w:rPr>
        <w:t xml:space="preserve">, </w:t>
      </w:r>
      <w:r>
        <w:rPr>
          <w:rtl w:val="true"/>
        </w:rPr>
        <w:t>אשר לטענתם ביצעו את העבירות תחת אילוץ כלכלי</w:t>
      </w:r>
      <w:r>
        <w:rPr>
          <w:rtl w:val="true"/>
        </w:rPr>
        <w:t xml:space="preserve">, </w:t>
      </w:r>
      <w:r>
        <w:rPr>
          <w:rtl w:val="true"/>
        </w:rPr>
        <w:t>ונאבקים בעול פרנסת משפחותיהם</w:t>
      </w:r>
      <w:r>
        <w:rPr>
          <w:rtl w:val="true"/>
        </w:rPr>
        <w:t xml:space="preserve">, </w:t>
      </w:r>
      <w:r>
        <w:rPr>
          <w:rtl w:val="true"/>
        </w:rPr>
        <w:t>הודו במסגרת הסדר טיעון שתרם לחיסכון בזמן שיפוטי</w:t>
      </w:r>
      <w:r>
        <w:rPr>
          <w:rtl w:val="true"/>
        </w:rPr>
        <w:t xml:space="preserve">, </w:t>
      </w:r>
      <w:r>
        <w:rPr>
          <w:rtl w:val="true"/>
        </w:rPr>
        <w:t>והביעו צער וחרטה על המעשים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באיזון שבין השיקולים לחומרה ולקולה בעניינם של הנאשמים הם ראויים לענישה שתשקף את חומרת המעשים ואת היקף הנזק הרב שנגרם לנפגעי העבירה בעקבותיהם</w:t>
      </w:r>
      <w:r>
        <w:rPr>
          <w:rtl w:val="true"/>
        </w:rPr>
        <w:t xml:space="preserve">, </w:t>
      </w:r>
      <w:r>
        <w:rPr>
          <w:rtl w:val="true"/>
        </w:rPr>
        <w:t>וזאת מבלי למצות את מלוא חומרת הדין עמם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לאחר ששמעתי את 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עיינתי בראיות שהובאו בעניינם של הנאשמים</w:t>
      </w:r>
      <w:r>
        <w:rPr>
          <w:rtl w:val="true"/>
        </w:rPr>
        <w:t xml:space="preserve">, </w:t>
      </w:r>
      <w:r>
        <w:rPr>
          <w:rtl w:val="true"/>
        </w:rPr>
        <w:t>ושקלתי את השיקולים לחומרה ולקולה</w:t>
      </w:r>
      <w:r>
        <w:rPr>
          <w:rtl w:val="true"/>
        </w:rPr>
        <w:t xml:space="preserve">, </w:t>
      </w:r>
      <w:r>
        <w:rPr>
          <w:rtl w:val="true"/>
        </w:rPr>
        <w:t>כפי שפורטו לעיל</w:t>
      </w:r>
      <w:r>
        <w:rPr>
          <w:rtl w:val="true"/>
        </w:rPr>
        <w:t xml:space="preserve">, </w:t>
      </w:r>
      <w:r>
        <w:rPr>
          <w:rtl w:val="true"/>
        </w:rPr>
        <w:t>אני גוזר על כל אחד מהנאשמים את העונשים הבאים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</w:rPr>
      </w:pPr>
      <w:r>
        <w:rPr>
          <w:b/>
          <w:b/>
          <w:bCs/>
          <w:rtl w:val="true"/>
        </w:rPr>
        <w:t>הנאשם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-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אני דן את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לשש שנות מאסר</w:t>
      </w:r>
      <w:r>
        <w:rPr>
          <w:rtl w:val="true"/>
        </w:rPr>
        <w:t xml:space="preserve">, </w:t>
      </w:r>
      <w:r>
        <w:rPr>
          <w:rtl w:val="true"/>
        </w:rPr>
        <w:t>מתוכן חמש שנים לריצוי בפועל</w:t>
      </w:r>
      <w:r>
        <w:rPr>
          <w:rtl w:val="true"/>
        </w:rPr>
        <w:t xml:space="preserve">, </w:t>
      </w:r>
      <w:r>
        <w:rPr>
          <w:rtl w:val="true"/>
        </w:rPr>
        <w:t>ואילו היתרה על תנאי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הנאשם לא יעבור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 עבירות של גניבה או התפרצות</w:t>
      </w:r>
      <w:r>
        <w:rPr>
          <w:rtl w:val="true"/>
        </w:rPr>
        <w:t xml:space="preserve">, </w:t>
      </w:r>
      <w:r>
        <w:rPr>
          <w:rtl w:val="true"/>
        </w:rPr>
        <w:t>ויורשע בגינן</w:t>
      </w:r>
      <w:r>
        <w:rPr>
          <w:rtl w:val="true"/>
        </w:rPr>
        <w:t xml:space="preserve">; </w:t>
        <w:tab/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אני מורה על הפעלת תקופות המאסר המותנה שהוטלו על הנאשם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אביב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3583/09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4334/09</w:t>
      </w:r>
      <w:r>
        <w:rPr>
          <w:rtl w:val="true"/>
        </w:rPr>
        <w:t xml:space="preserve"> </w:t>
      </w:r>
      <w:r>
        <w:rPr>
          <w:rtl w:val="true"/>
        </w:rPr>
        <w:t xml:space="preserve">בנות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>בגין כניסה לישראל שלא כדין</w:t>
      </w:r>
      <w:r>
        <w:rPr>
          <w:rtl w:val="true"/>
        </w:rPr>
        <w:t xml:space="preserve">),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>בגין התפרצות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>בגין כניסה לישראל שלא כדין</w:t>
      </w:r>
      <w:r>
        <w:rPr>
          <w:rtl w:val="true"/>
        </w:rPr>
        <w:t xml:space="preserve">), </w:t>
      </w:r>
      <w:r>
        <w:rPr>
          <w:rtl w:val="true"/>
        </w:rPr>
        <w:t xml:space="preserve">אשר ירוצו כולן </w:t>
      </w:r>
      <w:r>
        <w:rPr>
          <w:u w:val="single"/>
          <w:rtl w:val="true"/>
        </w:rPr>
        <w:t>בחופף לעונש המאסר בפועל</w:t>
      </w:r>
      <w:r>
        <w:rPr>
          <w:rtl w:val="true"/>
        </w:rPr>
        <w:t xml:space="preserve"> שהוטל עליו לעיל</w:t>
      </w:r>
      <w:r>
        <w:rPr>
          <w:rtl w:val="true"/>
        </w:rPr>
        <w:t xml:space="preserve">. </w:t>
        <w:tab/>
        <w:br/>
      </w:r>
      <w:r>
        <w:rPr>
          <w:u w:val="single"/>
          <w:rtl w:val="true"/>
        </w:rPr>
        <w:t>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ירצה הנאשם מס</w:t>
      </w:r>
      <w:r>
        <w:rPr>
          <w:u w:val="single"/>
          <w:rtl w:val="true"/>
        </w:rPr>
        <w:t xml:space="preserve">' </w:t>
      </w:r>
      <w:r>
        <w:rPr>
          <w:u w:val="single"/>
        </w:rPr>
        <w:t>1</w:t>
      </w:r>
      <w:r>
        <w:rPr>
          <w:u w:val="single"/>
          <w:rtl w:val="true"/>
        </w:rPr>
        <w:t xml:space="preserve"> - </w:t>
      </w:r>
      <w:r>
        <w:rPr>
          <w:u w:val="single"/>
          <w:rtl w:val="true"/>
        </w:rPr>
        <w:t>חמש שנות מאסר בפועל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מניין המאסר מיום המעצר</w:t>
      </w:r>
      <w:r>
        <w:rPr>
          <w:rtl w:val="true"/>
        </w:rPr>
        <w:t xml:space="preserve">; </w:t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 שנתיים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הנאשם לא יעבור כל עבירה לפי </w:t>
      </w:r>
      <w:hyperlink r:id="rId14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ויורשע בה</w:t>
      </w:r>
      <w:r>
        <w:rPr>
          <w:rtl w:val="true"/>
        </w:rPr>
        <w:t>;</w:t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אני מטיל על הנאשם 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, </w:t>
      </w:r>
      <w:r>
        <w:rPr>
          <w:rtl w:val="true"/>
        </w:rPr>
        <w:t>שישולמו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 רצופים ושווים</w:t>
      </w:r>
      <w:r>
        <w:rPr>
          <w:rtl w:val="true"/>
        </w:rPr>
        <w:t xml:space="preserve">, </w:t>
      </w:r>
      <w:r>
        <w:rPr>
          <w:rtl w:val="true"/>
        </w:rPr>
        <w:t xml:space="preserve">בכל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, </w:t>
      </w:r>
      <w:r>
        <w:rPr>
          <w:rtl w:val="true"/>
        </w:rPr>
        <w:t>החל מ</w:t>
      </w:r>
      <w:r>
        <w:rPr>
          <w:rtl w:val="true"/>
        </w:rPr>
        <w:t>-</w:t>
      </w:r>
      <w:r>
        <w:rPr/>
        <w:t>01/01/13</w:t>
      </w:r>
      <w:r>
        <w:rPr>
          <w:rtl w:val="true"/>
        </w:rPr>
        <w:t>;</w:t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הנאשם יפצה את משפחת סבח מקרית</w:t>
      </w:r>
      <w:r>
        <w:rPr>
          <w:rtl w:val="true"/>
        </w:rPr>
        <w:t>-</w:t>
      </w:r>
      <w:r>
        <w:rPr>
          <w:rtl w:val="true"/>
        </w:rPr>
        <w:t xml:space="preserve">שמונה בסכום של </w:t>
      </w:r>
      <w:r>
        <w:rPr/>
        <w:t>12,000</w:t>
      </w:r>
      <w:r>
        <w:rPr>
          <w:rtl w:val="true"/>
        </w:rPr>
        <w:t xml:space="preserve"> ₪, </w:t>
      </w:r>
      <w:r>
        <w:rPr>
          <w:rtl w:val="true"/>
        </w:rPr>
        <w:t xml:space="preserve">ואת משפחת קפלן ממכמנים בסכום של </w:t>
      </w:r>
      <w:r>
        <w:rPr/>
        <w:t>8,000</w:t>
      </w:r>
      <w:r>
        <w:rPr>
          <w:rtl w:val="true"/>
        </w:rPr>
        <w:t xml:space="preserve"> ₪; </w:t>
        <w:tab/>
        <w:br/>
      </w:r>
      <w:r>
        <w:rPr>
          <w:rtl w:val="true"/>
        </w:rPr>
        <w:t>סכומי הפיצוי ישולמו למתלוננים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פרטי חשבון הבנק שתמסור הפרקליטות באמצעות גזברות בתי המשפט</w:t>
      </w:r>
      <w:r>
        <w:rPr>
          <w:rtl w:val="true"/>
        </w:rPr>
        <w:t xml:space="preserve">, </w:t>
      </w:r>
      <w:r>
        <w:rPr>
          <w:rtl w:val="true"/>
        </w:rPr>
        <w:t xml:space="preserve">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אם לא כן</w:t>
      </w:r>
      <w:r>
        <w:rPr>
          <w:rtl w:val="true"/>
        </w:rPr>
        <w:t xml:space="preserve">, </w:t>
      </w:r>
      <w:r>
        <w:rPr>
          <w:rtl w:val="true"/>
        </w:rPr>
        <w:t>ישאו הסכומים הפרשי הצמדה וריבית כחוק</w:t>
      </w:r>
      <w:r>
        <w:rPr>
          <w:rtl w:val="true"/>
        </w:rPr>
        <w:t xml:space="preserve">, </w:t>
      </w:r>
      <w:r>
        <w:rPr>
          <w:rtl w:val="true"/>
        </w:rPr>
        <w:t>מיום מתן גזר הדין ועד ליום התשלום המלא בפועל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הנאשם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- </w:t>
        <w:tab/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אני דן את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לחמש שנות מאסר</w:t>
      </w:r>
      <w:r>
        <w:rPr>
          <w:rtl w:val="true"/>
        </w:rPr>
        <w:t xml:space="preserve">, </w:t>
      </w:r>
      <w:r>
        <w:rPr>
          <w:rtl w:val="true"/>
        </w:rPr>
        <w:t>מתוכן ארבע שנים לריצוי בפועל</w:t>
      </w:r>
      <w:r>
        <w:rPr>
          <w:rtl w:val="true"/>
        </w:rPr>
        <w:t xml:space="preserve">, </w:t>
      </w:r>
      <w:r>
        <w:rPr>
          <w:rtl w:val="true"/>
        </w:rPr>
        <w:t>ואילו היתרה על תנאי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הנאשם לא יעבור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 עבירות של גניבה או התפרצות</w:t>
      </w:r>
      <w:r>
        <w:rPr>
          <w:rtl w:val="true"/>
        </w:rPr>
        <w:t xml:space="preserve">, </w:t>
      </w:r>
      <w:r>
        <w:rPr>
          <w:rtl w:val="true"/>
        </w:rPr>
        <w:t>ויורשע בהן</w:t>
      </w:r>
      <w:r>
        <w:rPr>
          <w:rtl w:val="true"/>
        </w:rPr>
        <w:t xml:space="preserve">. </w:t>
      </w:r>
      <w:r>
        <w:rPr>
          <w:rtl w:val="true"/>
        </w:rPr>
        <w:t>מניין המאסר מיום המעצר</w:t>
      </w:r>
      <w:r>
        <w:rPr>
          <w:rtl w:val="true"/>
        </w:rPr>
        <w:t xml:space="preserve">; </w:t>
        <w:tab/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 שנתיים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הנאשם לא יעבור כל עבירה לפי </w:t>
      </w:r>
      <w:hyperlink r:id="rId16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ויורשע בה</w:t>
      </w:r>
      <w:r>
        <w:rPr>
          <w:rtl w:val="true"/>
        </w:rPr>
        <w:t>;</w:t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אני מטיל על הנאשם קנס בסך </w:t>
      </w:r>
      <w:r>
        <w:rPr/>
        <w:t>7,500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, </w:t>
      </w:r>
      <w:r>
        <w:rPr>
          <w:rtl w:val="true"/>
        </w:rPr>
        <w:t>שישולמו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 רצופים ושווים</w:t>
      </w:r>
      <w:r>
        <w:rPr>
          <w:rtl w:val="true"/>
        </w:rPr>
        <w:t xml:space="preserve">, </w:t>
      </w:r>
      <w:r>
        <w:rPr>
          <w:rtl w:val="true"/>
        </w:rPr>
        <w:t xml:space="preserve">בכל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, </w:t>
      </w:r>
      <w:r>
        <w:rPr>
          <w:rtl w:val="true"/>
        </w:rPr>
        <w:t>החל מ</w:t>
      </w:r>
      <w:r>
        <w:rPr>
          <w:rtl w:val="true"/>
        </w:rPr>
        <w:t>-</w:t>
      </w:r>
      <w:r>
        <w:rPr/>
        <w:t>01/01/13</w:t>
      </w:r>
      <w:r>
        <w:rPr>
          <w:rtl w:val="true"/>
        </w:rPr>
        <w:t>;</w:t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08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הנאשם יפצה את משפחת סבח מקרית</w:t>
      </w:r>
      <w:r>
        <w:rPr>
          <w:rtl w:val="true"/>
        </w:rPr>
        <w:t>-</w:t>
      </w:r>
      <w:r>
        <w:rPr>
          <w:rtl w:val="true"/>
        </w:rPr>
        <w:t xml:space="preserve">שמונה בסכום של </w:t>
      </w:r>
      <w:r>
        <w:rPr/>
        <w:t>12,000</w:t>
      </w:r>
      <w:r>
        <w:rPr>
          <w:rtl w:val="true"/>
        </w:rPr>
        <w:t xml:space="preserve"> ₪, </w:t>
      </w:r>
      <w:r>
        <w:rPr>
          <w:rtl w:val="true"/>
        </w:rPr>
        <w:t>את משפחת אודיז מקרית</w:t>
      </w:r>
      <w:r>
        <w:rPr>
          <w:rtl w:val="true"/>
        </w:rPr>
        <w:t>-</w:t>
      </w:r>
      <w:r>
        <w:rPr>
          <w:rtl w:val="true"/>
        </w:rPr>
        <w:t xml:space="preserve">שמונה בסכום של </w:t>
      </w:r>
      <w:r>
        <w:rPr/>
        <w:t>12,000</w:t>
      </w:r>
      <w:r>
        <w:rPr>
          <w:rtl w:val="true"/>
        </w:rPr>
        <w:t xml:space="preserve"> ₪, </w:t>
      </w:r>
      <w:r>
        <w:rPr>
          <w:rtl w:val="true"/>
        </w:rPr>
        <w:t xml:space="preserve">ואת משפחת יוסף מהררית בסך </w:t>
      </w:r>
      <w:r>
        <w:rPr/>
        <w:t>16,000</w:t>
      </w:r>
      <w:r>
        <w:rPr>
          <w:rtl w:val="true"/>
        </w:rPr>
        <w:t xml:space="preserve"> ₪; </w:t>
        <w:tab/>
        <w:br/>
      </w:r>
      <w:r>
        <w:rPr>
          <w:rtl w:val="true"/>
        </w:rPr>
        <w:t>סכומי הפיצוי ישולמו למתלוננים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פרטי חשבון הבנק שתמסור הפרקליטות באמצעות גזברות בתי המשפט</w:t>
      </w:r>
      <w:r>
        <w:rPr>
          <w:rtl w:val="true"/>
        </w:rPr>
        <w:t xml:space="preserve">, </w:t>
      </w:r>
      <w:r>
        <w:rPr>
          <w:rtl w:val="true"/>
        </w:rPr>
        <w:t xml:space="preserve">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אם לא כן</w:t>
      </w:r>
      <w:r>
        <w:rPr>
          <w:rtl w:val="true"/>
        </w:rPr>
        <w:t xml:space="preserve">, </w:t>
      </w:r>
      <w:r>
        <w:rPr>
          <w:rtl w:val="true"/>
        </w:rPr>
        <w:t>יישאו הסכומים הפרשי הצמדה וריבית כחוק</w:t>
      </w:r>
      <w:r>
        <w:rPr>
          <w:rtl w:val="true"/>
        </w:rPr>
        <w:t xml:space="preserve">, </w:t>
      </w:r>
      <w:r>
        <w:rPr>
          <w:rtl w:val="true"/>
        </w:rPr>
        <w:t>מיום מתן גזר הדין ועד ליום התשלום המלא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#8#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23/10/2012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914400" cy="96202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39" t="-37" r="-39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6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תאופיקכתילי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יבגניה</w:t>
      </w:r>
      <w:r>
        <w:rPr>
          <w:rtl w:val="true"/>
        </w:rPr>
        <w:t xml:space="preserve"> </w:t>
      </w:r>
      <w:r>
        <w:rPr>
          <w:rtl w:val="true"/>
        </w:rPr>
        <w:t>דורין</w:t>
      </w:r>
      <w:r>
        <w:rPr>
          <w:rtl w:val="true"/>
        </w:rPr>
        <w:t>-</w:t>
      </w:r>
      <w:r>
        <w:rPr>
          <w:rtl w:val="true"/>
        </w:rPr>
        <w:t>מלמוד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13291-03-12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חושיה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720"/>
        </w:tabs>
        <w:ind w:start="720" w:hanging="360"/>
      </w:pPr>
      <w:rPr>
        <w:sz w:val="2"/>
        <w:szCs w:val="24"/>
        <w:rFonts w:cs="David"/>
      </w:rPr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tabs>
          <w:tab w:val="num" w:pos="1728"/>
        </w:tabs>
        <w:ind w:start="1728" w:hanging="648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tabs>
          <w:tab w:val="num" w:pos="4320"/>
        </w:tabs>
        <w:ind w:start="432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720"/>
        </w:tabs>
        <w:ind w:start="720" w:hanging="360"/>
      </w:pPr>
      <w:rPr>
        <w:sz w:val="2"/>
        <w:szCs w:val="24"/>
        <w:rFonts w:cs="David"/>
      </w:rPr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tabs>
          <w:tab w:val="num" w:pos="1728"/>
        </w:tabs>
        <w:ind w:start="1728" w:hanging="648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tabs>
          <w:tab w:val="num" w:pos="4320"/>
        </w:tabs>
        <w:ind w:start="4320" w:hanging="144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3291-03-12"/>
    <w:docVar w:name="caseId" w:val="70150621"/>
    <w:docVar w:name="deriveClass" w:val="NGCS.Protocol.BL.Client.ProtocolBLClientCriminal"/>
    <w:docVar w:name="firstPageNumber" w:val="11"/>
    <w:docVar w:name="MyInfo" w:val="This document was extracted from Nevo's site"/>
    <w:docVar w:name="NGCS.caseTypeID" w:val="10048"/>
    <w:docVar w:name="NGCS.courtID" w:val="1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20443537@GOV.IL"/>
    <w:docVar w:name="privellegeId" w:val="1"/>
    <w:docVar w:name="protocolId" w:val="3246020"/>
    <w:docVar w:name="releaseSign" w:val="0"/>
    <w:docVar w:name="sittingDateTime" w:val="23/10/2012 09:00     "/>
    <w:docVar w:name="sittingId" w:val="7405757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David"/>
      <w:sz w:val="2"/>
      <w:szCs w:val="24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David"/>
      <w:sz w:val="2"/>
      <w:szCs w:val="24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12-h1">
    <w:name w:val="12-h1"/>
    <w:basedOn w:val="DefaultParagraphFont"/>
    <w:qFormat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12-p">
    <w:name w:val="12-p"/>
    <w:basedOn w:val="Normal"/>
    <w:qFormat/>
    <w:pPr>
      <w:bidi w:val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eastAsia="David" w:cs="FrankRuehl"/>
      <w:spacing w:val="10"/>
      <w:sz w:val="22"/>
      <w:szCs w:val="28"/>
    </w:rPr>
  </w:style>
  <w:style w:type="paragraph" w:styleId="ruller41">
    <w:name w:val="ruller41"/>
    <w:basedOn w:val="Normal"/>
    <w:qFormat/>
    <w:pPr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eastAsia="David" w:cs="Times New Roman"/>
      <w:spacing w:val="10"/>
      <w:sz w:val="22"/>
      <w:szCs w:val="22"/>
    </w:rPr>
  </w:style>
  <w:style w:type="paragraph" w:styleId="DocumentMap">
    <w:name w:val="Document Map"/>
    <w:basedOn w:val="Normal"/>
    <w:qFormat/>
    <w:pPr>
      <w:shd w:fill="000080" w:val="clear"/>
      <w:ind w:hanging="0" w:start="0" w:end="0"/>
      <w:jc w:val="start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case/5701236" TargetMode="External"/><Relationship Id="rId10" Type="http://schemas.openxmlformats.org/officeDocument/2006/relationships/hyperlink" Target="http://www.nevo.co.il/case/5786637" TargetMode="External"/><Relationship Id="rId11" Type="http://schemas.openxmlformats.org/officeDocument/2006/relationships/hyperlink" Target="http://www.nevo.co.il/case/17924089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image" Target="media/image1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2016-01-14T10:37:00Z</dcterms:created>
  <dc:creator> </dc:creator>
  <dc:description/>
  <cp:keywords/>
  <dc:language>en-IL</dc:language>
  <cp:lastModifiedBy>run</cp:lastModifiedBy>
  <cp:lastPrinted>2012-10-23T12:07:00Z</cp:lastPrinted>
  <dcterms:modified xsi:type="dcterms:W3CDTF">2016-01-14T10:37:00Z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חושיה;פארס שמאסנה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ProcID=209&amp;PartA=3583&amp;PartC=09</vt:lpwstr>
  </property>
  <property fmtid="{D5CDD505-2E9C-101B-9397-08002B2CF9AE}" pid="10" name="CASENOTES3">
    <vt:lpwstr>ProcID=209&amp;PartA=4334&amp;PartC=09</vt:lpwstr>
  </property>
  <property fmtid="{D5CDD505-2E9C-101B-9397-08002B2CF9AE}" pid="11" name="CASESLISTTMP1">
    <vt:lpwstr>5701236;5786637;17924089;17929065</vt:lpwstr>
  </property>
  <property fmtid="{D5CDD505-2E9C-101B-9397-08002B2CF9AE}" pid="12" name="CITY">
    <vt:lpwstr>נצ'</vt:lpwstr>
  </property>
  <property fmtid="{D5CDD505-2E9C-101B-9397-08002B2CF9AE}" pid="13" name="DATE">
    <vt:lpwstr>20121023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תאופיק כתילי</vt:lpwstr>
  </property>
  <property fmtid="{D5CDD505-2E9C-101B-9397-08002B2CF9AE}" pid="17" name="LAWLISTTMP1">
    <vt:lpwstr>70301:3</vt:lpwstr>
  </property>
  <property fmtid="{D5CDD505-2E9C-101B-9397-08002B2CF9AE}" pid="18" name="LAWLISTTMP2">
    <vt:lpwstr>90721:6</vt:lpwstr>
  </property>
  <property fmtid="{D5CDD505-2E9C-101B-9397-08002B2CF9AE}" pid="19" name="LAWYER">
    <vt:lpwstr>סרי חורי בהעברה מ מונדר אבו אחמד;רים בראנסה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13291</vt:lpwstr>
  </property>
  <property fmtid="{D5CDD505-2E9C-101B-9397-08002B2CF9AE}" pid="26" name="NEWPARTB">
    <vt:lpwstr>03</vt:lpwstr>
  </property>
  <property fmtid="{D5CDD505-2E9C-101B-9397-08002B2CF9AE}" pid="27" name="NEWPARTC">
    <vt:lpwstr>12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390020121023</vt:lpwstr>
  </property>
  <property fmtid="{D5CDD505-2E9C-101B-9397-08002B2CF9AE}" pid="38" name="TYPE_N_DATE">
    <vt:lpwstr>39020121023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