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134-09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אלקיעאן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282/09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אור אדם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רחלי חגג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שמיר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בשיר אבו אלקיעאן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נועם בונדר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פסק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הנאשם הודה במסגרת הסדר הטיעון בעבירה של שיבוש מהלכי משפט בניגוד לסעיף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בכך שביום </w:t>
      </w:r>
      <w:r>
        <w:rPr/>
        <w:t>8/1/09</w:t>
      </w:r>
      <w:r>
        <w:rPr>
          <w:rtl w:val="true"/>
        </w:rPr>
        <w:t xml:space="preserve"> </w:t>
      </w:r>
      <w:r>
        <w:rPr>
          <w:rtl w:val="true"/>
        </w:rPr>
        <w:t>כאשר נעצר שוהה בלתי חוקי</w:t>
      </w:r>
      <w:r>
        <w:rPr>
          <w:rtl w:val="true"/>
        </w:rPr>
        <w:t xml:space="preserve">, </w:t>
      </w:r>
      <w:r>
        <w:rPr>
          <w:rtl w:val="true"/>
        </w:rPr>
        <w:t xml:space="preserve">אמר לו הנאשם </w:t>
      </w:r>
      <w:r>
        <w:rPr>
          <w:rtl w:val="true"/>
        </w:rPr>
        <w:t>"</w:t>
      </w:r>
      <w:r>
        <w:rPr>
          <w:rtl w:val="true"/>
        </w:rPr>
        <w:t>אתה לא עובד אצלי ואתה לא מכיר אותי וסתם עמדת שם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 הודה בעבירה אולם לא הורשע ונשלח לתסקיר שירות המבחן</w:t>
      </w:r>
      <w:r>
        <w:rPr>
          <w:rtl w:val="true"/>
        </w:rPr>
        <w:t xml:space="preserve">, </w:t>
      </w:r>
      <w:r>
        <w:rPr>
          <w:rtl w:val="true"/>
        </w:rPr>
        <w:t>אשר יבחן גם את שאלת ההרשעה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 שירות המבחן עולה כי מדובר באדם נורמטיבי בעל שאיפות נורמטיביות להתנהלות תקינה בהמשך חייו</w:t>
      </w:r>
      <w:r>
        <w:rPr>
          <w:rtl w:val="true"/>
        </w:rPr>
        <w:t xml:space="preserve">, </w:t>
      </w:r>
      <w:r>
        <w:rPr>
          <w:rtl w:val="true"/>
        </w:rPr>
        <w:t>וכי האירוע הוא אירוע חריג על רקע התנהלותו בדרך 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שירות המבחן ממליץ איפוא שלא להרשיע את הנאשם על מנת שלא לפגוע בעתידו </w:t>
      </w:r>
      <w:r>
        <w:rPr>
          <w:rtl w:val="true"/>
        </w:rPr>
        <w:t>–</w:t>
      </w:r>
      <w:r>
        <w:rPr>
          <w:rtl w:val="true"/>
        </w:rPr>
        <w:t xml:space="preserve"> ברצונו ללמוד לימודי הוראה בעתיד</w:t>
      </w:r>
      <w:r>
        <w:rPr>
          <w:rtl w:val="true"/>
        </w:rPr>
        <w:t xml:space="preserve">, </w:t>
      </w:r>
      <w:r>
        <w:rPr>
          <w:rtl w:val="true"/>
        </w:rPr>
        <w:t>ולהסתפק בעונש של של</w:t>
      </w:r>
      <w:r>
        <w:rPr>
          <w:rtl w:val="true"/>
        </w:rPr>
        <w:t>"</w:t>
      </w:r>
      <w:r>
        <w:rPr>
          <w:rtl w:val="true"/>
        </w:rPr>
        <w:t>צ שיהיה בעל אלמנט הרתעתי ומשפיע עבורו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ההלכה הפסוקה לגבי הרשעה קובעת כי בדרך כלל כאשר נאשם מודה בביצוע עבירה</w:t>
      </w:r>
      <w:r>
        <w:rPr>
          <w:rtl w:val="true"/>
        </w:rPr>
        <w:t xml:space="preserve">, </w:t>
      </w:r>
      <w:r>
        <w:rPr>
          <w:rtl w:val="true"/>
        </w:rPr>
        <w:t>יש מקום להרשעתו</w:t>
      </w:r>
      <w:r>
        <w:rPr>
          <w:rtl w:val="true"/>
        </w:rPr>
        <w:t xml:space="preserve">. </w:t>
      </w:r>
      <w:r>
        <w:rPr>
          <w:rtl w:val="true"/>
        </w:rPr>
        <w:t>שיקומו של נאשם הוא רק אחד משיקולי הענישה</w:t>
      </w:r>
      <w:r>
        <w:rPr>
          <w:rtl w:val="true"/>
        </w:rPr>
        <w:t xml:space="preserve">, </w:t>
      </w:r>
      <w:r>
        <w:rPr>
          <w:rtl w:val="true"/>
        </w:rPr>
        <w:t>כאשר על בית המשפט לבחון את כלל נסיבות העניין</w:t>
      </w:r>
      <w:r>
        <w:rPr>
          <w:rtl w:val="true"/>
        </w:rPr>
        <w:t xml:space="preserve">. </w:t>
      </w:r>
      <w:r>
        <w:rPr>
          <w:rtl w:val="true"/>
        </w:rPr>
        <w:t>כבוד השופטת דורנר קבעה כי הימנעות מהרשעה הינו חריג אשר אפשרי רק בהצטבר שני גורמים</w:t>
      </w:r>
      <w:r>
        <w:rPr>
          <w:rtl w:val="true"/>
        </w:rPr>
        <w:t xml:space="preserve">, </w:t>
      </w:r>
      <w:r>
        <w:rPr>
          <w:rtl w:val="true"/>
        </w:rPr>
        <w:t>ראשית על ההרשעה לפגוע פגיעה חמורה בשיקום הנאשם</w:t>
      </w:r>
      <w:r>
        <w:rPr>
          <w:rtl w:val="true"/>
        </w:rPr>
        <w:t xml:space="preserve">, </w:t>
      </w:r>
      <w:r>
        <w:rPr>
          <w:rtl w:val="true"/>
        </w:rPr>
        <w:t xml:space="preserve">ושנית כי סוג העבירה מאפשר לוותר בנסיבות המקרה המסוים על ההרשעה מבלי לפגוע באופן מהותי על שיקולי ההרשעה האחרים </w:t>
      </w:r>
      <w:r>
        <w:rPr>
          <w:rtl w:val="true"/>
        </w:rPr>
        <w:t>(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2083/96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כתב נגד מדינת ישראל 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 נב</w:t>
        </w:r>
      </w:hyperlink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337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בענייננו הניסיון להטעיית גורמי החקירה הוא אמנם חמור</w:t>
      </w:r>
      <w:r>
        <w:rPr>
          <w:rtl w:val="true"/>
        </w:rPr>
        <w:t xml:space="preserve">, </w:t>
      </w:r>
      <w:r>
        <w:rPr>
          <w:rtl w:val="true"/>
        </w:rPr>
        <w:t>אולם צודק ב</w:t>
      </w:r>
      <w:r>
        <w:rPr>
          <w:rtl w:val="true"/>
        </w:rPr>
        <w:t>"</w:t>
      </w:r>
      <w:r>
        <w:rPr>
          <w:rtl w:val="true"/>
        </w:rPr>
        <w:t>כ הנאשם כי מדובר בעבירה במדרג הנמוך של עבירות השיבוש וכעולה מתסקיר שירות המבחן</w:t>
      </w:r>
      <w:r>
        <w:rPr>
          <w:rtl w:val="true"/>
        </w:rPr>
        <w:t xml:space="preserve">, </w:t>
      </w:r>
      <w:r>
        <w:rPr>
          <w:rtl w:val="true"/>
        </w:rPr>
        <w:t>צפויה פגיעה קונקרטית בנאשם אם יורשע בדין לנוכח כוונתו לעסוק בהוראה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ואף הנאשם עצמו הסבירו כי עד עתה הוא לא פנה ללימודים כיוון שאחיו לומד כעת</w:t>
      </w:r>
      <w:r>
        <w:rPr>
          <w:rtl w:val="true"/>
        </w:rPr>
        <w:t xml:space="preserve">, </w:t>
      </w:r>
      <w:r>
        <w:rPr>
          <w:rtl w:val="true"/>
        </w:rPr>
        <w:t>ועליו להחזיק את העסק המשפחתי</w:t>
      </w:r>
      <w:r>
        <w:rPr>
          <w:rtl w:val="true"/>
        </w:rPr>
        <w:t xml:space="preserve">, </w:t>
      </w:r>
      <w:r>
        <w:rPr>
          <w:rtl w:val="true"/>
        </w:rPr>
        <w:t>אולם בעוד שנתיים שהאח יסיים את לימודיו</w:t>
      </w:r>
      <w:r>
        <w:rPr>
          <w:rtl w:val="true"/>
        </w:rPr>
        <w:t xml:space="preserve">, </w:t>
      </w:r>
      <w:r>
        <w:rPr>
          <w:rtl w:val="true"/>
        </w:rPr>
        <w:t>בכוונתו לפנות ללימודי הוראה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לנוכח כל האמור לעיל</w:t>
      </w:r>
      <w:r>
        <w:rPr>
          <w:rtl w:val="true"/>
        </w:rPr>
        <w:t xml:space="preserve">, </w:t>
      </w:r>
      <w:r>
        <w:rPr>
          <w:rtl w:val="true"/>
        </w:rPr>
        <w:t>נראה לי כי בנסיבות העניין ובהתאם להלכה הפסוקה</w:t>
      </w:r>
      <w:r>
        <w:rPr>
          <w:rtl w:val="true"/>
        </w:rPr>
        <w:t xml:space="preserve">, </w:t>
      </w:r>
      <w:r>
        <w:rPr>
          <w:rtl w:val="true"/>
        </w:rPr>
        <w:t xml:space="preserve">האינטרס הציבורי מסוגל </w:t>
      </w:r>
      <w:r>
        <w:rPr>
          <w:rtl w:val="true"/>
        </w:rPr>
        <w:t>"</w:t>
      </w:r>
      <w:r>
        <w:rPr>
          <w:rtl w:val="true"/>
        </w:rPr>
        <w:t>לסבול</w:t>
      </w:r>
      <w:r>
        <w:rPr>
          <w:rtl w:val="true"/>
        </w:rPr>
        <w:t xml:space="preserve">" </w:t>
      </w:r>
      <w:r>
        <w:rPr>
          <w:rtl w:val="true"/>
        </w:rPr>
        <w:t>הימנעות מהרשעה במקרה זה</w:t>
      </w:r>
      <w:r>
        <w:rPr>
          <w:rtl w:val="true"/>
        </w:rPr>
        <w:t xml:space="preserve">, </w:t>
      </w:r>
      <w:r>
        <w:rPr>
          <w:rtl w:val="true"/>
        </w:rPr>
        <w:t>הן לנוכח טיבה של העבירה</w:t>
      </w:r>
      <w:r>
        <w:rPr>
          <w:rtl w:val="true"/>
        </w:rPr>
        <w:t xml:space="preserve">, </w:t>
      </w:r>
      <w:r>
        <w:rPr>
          <w:rtl w:val="true"/>
        </w:rPr>
        <w:t>והזמן שחלף מאז ביצועה והעובדה כי הנאשם לא הסתבך בכל עבירה נוספת</w:t>
      </w:r>
      <w:r>
        <w:rPr>
          <w:rtl w:val="true"/>
        </w:rPr>
        <w:t xml:space="preserve">, </w:t>
      </w:r>
      <w:r>
        <w:rPr>
          <w:rtl w:val="true"/>
        </w:rPr>
        <w:t>והן לנוכח הפגיעה הקונקרטית בהעסקתו בעתיד כמתואר בתסקיר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 xml:space="preserve">אשר על כן אני קובע כי הנאשם ביצע עבירה של שיבוש מהלכי משפט בניגוד לסעיף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אולם אינני מרשיעו 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שעות של</w:t>
      </w:r>
      <w:r>
        <w:rPr>
          <w:rtl w:val="true"/>
        </w:rPr>
        <w:t>"</w:t>
      </w:r>
      <w:r>
        <w:rPr>
          <w:rtl w:val="true"/>
        </w:rPr>
        <w:t>צ בפיקוח שירות המבחן אותם יבצע בבית ספר בשגב שלום</w:t>
      </w:r>
      <w:r>
        <w:rPr>
          <w:rtl w:val="true"/>
        </w:rPr>
        <w:t xml:space="preserve">, </w:t>
      </w:r>
      <w:r>
        <w:rPr>
          <w:rtl w:val="true"/>
        </w:rPr>
        <w:t>בתפקידי אחזקה וגינון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חתימה על התחייבות 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שלא יעבור עבירה דומה לתקופה של שנתיים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 מוזהר בזאת כי אם יפר את צו השל</w:t>
      </w:r>
      <w:r>
        <w:rPr>
          <w:rtl w:val="true"/>
        </w:rPr>
        <w:t>"</w:t>
      </w:r>
      <w:r>
        <w:rPr>
          <w:rtl w:val="true"/>
        </w:rPr>
        <w:t>צ יהיה רשאי בית המשפט לדון מחדש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לרבות הרשעתו בדין ואף הטלת עונשים נוספים בהתאם לסעיף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העתק פסק הדין ישלח לשירות המבחן למבוגרים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זכות ערעור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לבית המשפט המחוזי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#3#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אור אדם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אדם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134-09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בשיר אבו אלקיעאן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2083/96&amp;Pvol=&#1504;&#1489;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2011-01-13T13:55:00Z</dcterms:created>
  <dc:creator> </dc:creator>
  <dc:description/>
  <cp:keywords/>
  <dc:language>en-IL</dc:language>
  <cp:lastModifiedBy>orit</cp:lastModifiedBy>
  <dcterms:modified xsi:type="dcterms:W3CDTF">2011-01-13T13:55:00Z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בשיר אבו אלקיעאן</vt:lpwstr>
  </property>
  <property fmtid="{D5CDD505-2E9C-101B-9397-08002B2CF9AE}" pid="4" name="CITY">
    <vt:lpwstr>ב"ש</vt:lpwstr>
  </property>
  <property fmtid="{D5CDD505-2E9C-101B-9397-08002B2CF9AE}" pid="5" name="DATE">
    <vt:lpwstr>20110112</vt:lpwstr>
  </property>
  <property fmtid="{D5CDD505-2E9C-101B-9397-08002B2CF9AE}" pid="6" name="JUDGE">
    <vt:lpwstr>אור אדם</vt:lpwstr>
  </property>
  <property fmtid="{D5CDD505-2E9C-101B-9397-08002B2CF9AE}" pid="7" name="LAWYER">
    <vt:lpwstr>רחלי חגג' שמיר;נועם בונדר</vt:lpwstr>
  </property>
  <property fmtid="{D5CDD505-2E9C-101B-9397-08002B2CF9AE}" pid="8" name="NEWPARTA">
    <vt:lpwstr>134</vt:lpwstr>
  </property>
  <property fmtid="{D5CDD505-2E9C-101B-9397-08002B2CF9AE}" pid="9" name="NEWPARTB">
    <vt:lpwstr/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ROCNUM">
    <vt:lpwstr>134</vt:lpwstr>
  </property>
  <property fmtid="{D5CDD505-2E9C-101B-9397-08002B2CF9AE}" pid="13" name="PROCYEAR">
    <vt:lpwstr>09</vt:lpwstr>
  </property>
  <property fmtid="{D5CDD505-2E9C-101B-9397-08002B2CF9AE}" pid="14" name="PSAKDIN">
    <vt:lpwstr>פסק-דין</vt:lpwstr>
  </property>
  <property fmtid="{D5CDD505-2E9C-101B-9397-08002B2CF9AE}" pid="15" name="RemarkFileName">
    <vt:lpwstr>shalom sh 09 134 345 htm</vt:lpwstr>
  </property>
  <property fmtid="{D5CDD505-2E9C-101B-9397-08002B2CF9AE}" pid="16" name="TYPE">
    <vt:lpwstr>3</vt:lpwstr>
  </property>
  <property fmtid="{D5CDD505-2E9C-101B-9397-08002B2CF9AE}" pid="17" name="TYPE_ABS_DATE">
    <vt:lpwstr>380020110112</vt:lpwstr>
  </property>
  <property fmtid="{D5CDD505-2E9C-101B-9397-08002B2CF9AE}" pid="18" name="TYPE_N_DATE">
    <vt:lpwstr>38020110112</vt:lpwstr>
  </property>
  <property fmtid="{D5CDD505-2E9C-101B-9397-08002B2CF9AE}" pid="19" name="WORDNUMPAGES">
    <vt:lpwstr>3</vt:lpwstr>
  </property>
</Properties>
</file>