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13471-01-22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 שוש שטרית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תביעות נגב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זוהר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נביל אל סייד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נאצר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אלעטאונה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IL" w:eastAsia="en-IL"/>
        </w:rPr>
      </w:pPr>
      <w:bookmarkStart w:id="9" w:name="ABSTRACT_END"/>
      <w:bookmarkEnd w:id="9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22.12.2021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החזיק הנאשם בביתו שבפזורת שבט אלסייד באקדח חצי אוטומטי מסוג גלוק מספר סידורי </w:t>
      </w:r>
      <w:r>
        <w:rPr>
          <w:rFonts w:cs="Arial" w:ascii="Arial" w:hAnsi="Arial"/>
        </w:rPr>
        <w:t>KGB 048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זאת בלא רשות על פי דין להחזקתו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בנוסף לאמור החזיק הנאשם במחסנית המותאמת לאקדח ובתוכה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בלא רשות על פין דין להחזיקם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נדרש לתסקיר חובה לאור גילו הצעיר של הנאשם – יליד אוגוסט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התסקיר הוגש  ביום </w:t>
      </w:r>
      <w:r>
        <w:rPr>
          <w:rFonts w:cs="Arial" w:ascii="Arial" w:hAnsi="Arial"/>
        </w:rPr>
        <w:t>20.6.22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וממנו עולה כי הנאשם  רווק וקודם מעצרו התגורר בבית הוריו ביישוב חורה  ועבד במאפייה בבאר שבע בשעות היום ובמאפייה נוספת שבבעלות אביו בחורה בשעות הערב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דבריו סיים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משפחת מוצאו מונה זוג הורים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אחים בטווח שבין שנה ועד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כשהנאשם הוא השלישי בסדר הלידה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בשיחה עמו בנוגע לעבירות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 הנאשם כי במועד תפיסת האקדח הגיע מהעבודה והבחין באדם זר אשר הטמין אקדח קרוב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חשש מכך שהמשטרה תמצא את האקדח ותאשים אותו בהחזקתו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את האקדח והעבירו לאביו על מנת שזה ימסור אותו לידי גורמי אכיפת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מסר כי יעביר את האקדח למשטרה ביום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למחרת ובעת שהוא בעבודה נערך חיפוש ונמצא האקדח עם טביעות אצבעותיו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 בהקשר זה בהתרשמותו מהנאשם כמי שמביע עמדה קןרבנית מאוד ומטשטשת ביחס לנסיבות החזקת הנשק והתייחסותו אינה לוקחת אחריות ממשית על העבירות בהן הודה והורשע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 ציין השירות בכך שהנאשם שלל הנאשם סכסוכים עם גורמים כלשהם כיום או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וביטא עמדה לפיה שימוש בנשק הינו מעשה פסול ומסוכן אשר יכול לגרום לנזק ומוות וכי היה עליו לנהוג אחרת ולמסור את הנשק באופן מידי לגורמי אכיפת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העריך כי לאור עברו הנקי ומאמצים תעסוקתיים אשר ערך הנאשם 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תמיכה משפחתיות וחווית מעצר טראומטית המהווה גורם הרתעתי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סיכוי לשיקום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השירות בקיומו של סיכון לעבריינות דומה בעתיד נוכח ההתרשמות כי על אף הודאת הנאשם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התייחסותו לנסיבות ביצוען הייתה מגמתית וממסכת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התקשה לערוך התבוננות פנימית מעמיקה בנוגע לכשליו וקשייו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נטה לטשטש דפוסים מכשילים וייתכן וטשטש קשרים שוליים אשר ניהל טרם 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בסופם של דברים המליץ השירות על  ענישה מוחשית ומרתיעה אשר תביא בחשבון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של מאסר בפועל לתקופה שתמנע חשיפה ממושכת מאוד לסביבה עבריינית אשר עשויה להוביל להידרדרות נוספת אצל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תמצית טיעוני הצדדים לעונש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התביעה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הילה אליהו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טיעונים בכתב והוסיפה על פה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 xml:space="preserve">בפתח טיעוניה על פה ציינה בתיקון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tl w:val="true"/>
        </w:rPr>
        <w:t xml:space="preserve">".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</w:t>
      </w:r>
      <w:r>
        <w:rPr>
          <w:rtl w:val="true"/>
        </w:rPr>
        <w:t>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=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אלעטאונה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tl w:val="true"/>
        </w:rPr>
        <w:t xml:space="preserve">, </w:t>
      </w:r>
      <w:r>
        <w:rPr>
          <w:rtl w:val="true"/>
        </w:rPr>
        <w:t>כשבנוסף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ובהצטרף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: "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והחיים</w:t>
      </w:r>
      <w:r>
        <w:rPr>
          <w:rtl w:val="true"/>
        </w:rPr>
        <w:t xml:space="preserve">, 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</w:t>
      </w:r>
      <w:r>
        <w:rPr>
          <w:rtl w:val="true"/>
        </w:rPr>
        <w:t>י</w:t>
      </w:r>
      <w:r>
        <w:rPr>
          <w:rtl w:val="true"/>
        </w:rPr>
        <w:t>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קלטניים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החומרה אותה מייחס המחוקק לעבירה בה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נשק מקבלת ביטוי בעונש המרבי הקבוע לצדה 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b/>
          <w:bCs/>
        </w:rPr>
      </w:pPr>
      <w:r>
        <w:rPr>
          <w:rtl w:val="true"/>
        </w:rPr>
        <w:t>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האזרחית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 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עבאהרה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3169/21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21.06.21</w:t>
      </w:r>
      <w:r>
        <w:rPr>
          <w:rtl w:val="true"/>
        </w:rPr>
        <w:t xml:space="preserve">) 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הוראת השעה שבתיקון מספר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–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 באופן מכוון וברור קורא  להחמרת הענישה תוך קביעת עונש מינימום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 xml:space="preserve">משהורשע אדם בעבירה לפי סעיף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 יפחת עונשו מרבע העונש המרבי שנקבע לאותה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 xml:space="preserve">( </w:t>
      </w:r>
      <w:r>
        <w:rPr>
          <w:rFonts w:ascii="David" w:hAnsi="David"/>
          <w:rtl w:val="true"/>
        </w:rPr>
        <w:t>כולל מאסר על תנאי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אלא אם יחליט בית המשפט מטעמים מיוחדים שירשמו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Fonts w:ascii="David" w:hAnsi="David"/>
          <w:rtl w:val="true"/>
        </w:rPr>
        <w:t xml:space="preserve">דגשים על צורך השעה להחמרה בענישה נמצא בדברי ההסבר להצעת החוק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קריאה ראשונה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צוין בעליה המשמעותית במספר העבירות של החזקת הנשק שלא כדין ומספר העבירות הקשורות לעבירה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בחברה הערבית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בדברי ההסבר הודגש כי שימוש המחוקק בעונש המינימום שהינו כלי חריג ויוצא דופן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בעיקר לאחר תיקון 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שקבע את הבניית שיקול הדעת השיפוטי בענישה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הינו מחוייב המציאות נוכח התפשטות ההתחמשות של קבוצות גדולות באוכלוסייה בנשק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יחודיות התופעה והשלכותיה החמורות ובעיקר והמחיר שהיא גובה בחיי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ובמטרה להביא לשינוי המבוקש בהעלאת רמת הענישה ובהגברת ההרתעה במהלך התקופה בה חלה הוראת השעה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הדברים האמורים מקבלים מקום גם בדברי בית המשפט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המתמצתים באופן מדויק וישיר בפגיעה בערכים המוגנים שבעבירות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פגיעתן ההולכת ומעמיקה בחברה הישראלית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בחובת בתי המשפט לענישה מכבידה להרתיע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 w:before="0" w:after="160"/>
        <w:ind w:start="510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[...].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[...]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[...].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מצריך מענה הולם והטלת עונשי מאסר משמעותיים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[...].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240" w:after="0"/>
        <w:ind w:end="0"/>
        <w:jc w:val="both"/>
        <w:rPr>
          <w:rFonts w:ascii="Calibri" w:hAnsi="Calibri" w:cs="Calibri"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קליעי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 </w:t>
      </w:r>
      <w:r>
        <w:rPr>
          <w:rtl w:val="true"/>
        </w:rPr>
        <w:t>וכדברי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tl w:val="true"/>
        </w:rPr>
        <w:t xml:space="preserve">".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בפטונציאל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 </w:t>
      </w:r>
      <w:r>
        <w:rPr/>
        <w:t>M</w:t>
      </w:r>
      <w:r>
        <w:rPr/>
        <w:t xml:space="preserve"> -16</w:t>
      </w:r>
      <w:r>
        <w:rPr>
          <w:rtl w:val="true"/>
        </w:rPr>
        <w:t xml:space="preserve"> </w:t>
      </w:r>
      <w:r>
        <w:rPr>
          <w:rtl w:val="true"/>
        </w:rPr>
        <w:t>כשבענייננו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( 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/>
        <w:t>23.6.22</w:t>
      </w:r>
      <w:r>
        <w:rPr>
          <w:rtl w:val="true"/>
        </w:rPr>
        <w:t>):</w:t>
      </w:r>
    </w:p>
    <w:p>
      <w:pPr>
        <w:pStyle w:val="Normal"/>
        <w:spacing w:lineRule="auto" w:line="360" w:before="0" w:after="160"/>
        <w:ind w:start="510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לחריגים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25.8.2020</w:t>
      </w:r>
      <w:r>
        <w:rPr>
          <w:rtl w:val="true"/>
        </w:rPr>
        <w:t xml:space="preserve">]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7552-07-20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Cs/>
        </w:rPr>
        <w:t>22.7.2020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[...]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/>
        <w:t>1475-12-20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24.2.21</w:t>
      </w:r>
      <w:r>
        <w:rPr>
          <w:rtl w:val="true"/>
        </w:rPr>
        <w:t xml:space="preserve">),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 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b/>
          <w:bCs/>
          <w:rtl w:val="true"/>
        </w:rPr>
        <w:t>: "...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שמשקיעים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 </w:t>
      </w:r>
      <w:r>
        <w:rPr>
          <w:b/>
          <w:b/>
          <w:bCs/>
          <w:u w:val="single"/>
          <w:rtl w:val="true"/>
        </w:rPr>
        <w:t>החמרה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צריכה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ביטוי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בהחמרת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דגש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לשיקולים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הנוגעים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הנפגעים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שמאפייניה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b/>
          <w:bCs/>
          <w:rtl w:val="true"/>
        </w:rPr>
        <w:t xml:space="preserve">) 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19687-06-18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14.11.18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>: "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[...]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..."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start="-57" w:end="0"/>
        <w:jc w:val="both"/>
        <w:rPr/>
      </w:pP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21268-01-21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17.3.21</w:t>
      </w:r>
      <w:r>
        <w:rPr>
          <w:rtl w:val="true"/>
        </w:rPr>
        <w:t xml:space="preserve">], </w:t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5459-11-20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5.1.21</w:t>
      </w:r>
      <w:r>
        <w:rPr>
          <w:rtl w:val="true"/>
        </w:rPr>
        <w:t xml:space="preserve">],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15695-01-19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קווידר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28.4.21</w:t>
      </w:r>
      <w:r>
        <w:rPr>
          <w:rtl w:val="true"/>
        </w:rPr>
        <w:t xml:space="preserve">] –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).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highlight w:val="cyan"/>
        </w:rPr>
      </w:pPr>
      <w:r>
        <w:rPr>
          <w:highlight w:val="cyan"/>
          <w:rtl w:val="true"/>
        </w:rPr>
      </w:r>
    </w:p>
    <w:p>
      <w:pPr>
        <w:pStyle w:val="Normal"/>
        <w:spacing w:lineRule="auto" w:line="360" w:before="0" w:after="0"/>
        <w:ind w:start="-57" w:end="0"/>
        <w:contextualSpacing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lang w:val="en-IL" w:eastAsia="en-IL"/>
        </w:rPr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41707-03-22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בהשתתפותו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tl w:val="true"/>
        </w:rPr>
        <w:t xml:space="preserve">:  </w:t>
      </w:r>
    </w:p>
    <w:p>
      <w:pPr>
        <w:pStyle w:val="Normal"/>
        <w:spacing w:lineRule="auto" w:line="360" w:before="0" w:after="160"/>
        <w:ind w:start="510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 xml:space="preserve">"[...]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היקף כלי הנשק הבלתי חוקיים שבידי הציבור רב ועצום והוא מקור לדאגה עמוקה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10" w:end="567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באזורנו התופעה של החזקת נשק בלתי חוקי בולטת במיוחד במגזר הבדואי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לכך סיבות שונות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הצורך האובייקטיבי של חלק מאוכלוסיה זו להחזיק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רקע סביבת מגורים מדברית המרוחקת ממקום ישוב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הקושי של חלק ניכר מהמגזר הבדואי לעמוד בתנאים לקבלת רישיון החזקת נשק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ריבוי סכסוכים אלימים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ומעורבות גבוהה יחסית בפשיעה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10" w:end="567"/>
        <w:jc w:val="both"/>
        <w:rPr>
          <w:rFonts w:cs="Times New Roman"/>
          <w:b/>
          <w:bCs/>
        </w:rPr>
      </w:pPr>
      <w:r>
        <w:rPr>
          <w:rFonts w:ascii="David" w:hAnsi="David"/>
          <w:b/>
          <w:b/>
          <w:bCs/>
          <w:rtl w:val="true"/>
        </w:rPr>
        <w:t>הימצאותם של כלי נשק רבים בידי אזרחים שאינם מורשים להחזיקם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כשלעצמה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מהווה בעיה רצינית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זמינותו של נשק כזה עלולה להביא לכך שבמצבים שונים ייעשה בו שימוש פוגעני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10" w:end="567"/>
        <w:jc w:val="both"/>
        <w:rPr/>
      </w:pPr>
      <w:r>
        <w:rPr>
          <w:rFonts w:ascii="David" w:hAnsi="David"/>
          <w:b/>
          <w:b/>
          <w:bCs/>
          <w:rtl w:val="true"/>
        </w:rPr>
        <w:t>נוכח הסכנות הכרוכות בהחזקת נשק שלא כדין והיקף התופעה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במיוחד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של החמרה מובהקת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והערכאות הדיוניות נדרשות לממש מדיניות זו בהטלת עונשים משמעותיים שיהלמו את חומרת המעשה ואת הסכנות הנובעות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ויהיה בהם כדי להרתיע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: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העונשים המוטלים על החזקת אקדח שלא כדין נעים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 להפנות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2141-21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איתן חניני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27/05/21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שם דובר במערער שנשא בשעת לילה אקדח אוויר אשר בוצעו בו שינויים המאפשרים ירי של תחמושת בקליבר </w:t>
      </w:r>
      <w:r>
        <w:rPr>
          <w:rFonts w:cs="David" w:ascii="David" w:hAnsi="David"/>
        </w:rPr>
        <w:t>7.65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ארבעה כדורים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ועונשו נגזר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 ושערעורו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Fonts w:ascii="David" w:hAnsi="David"/>
          <w:rtl w:val="true"/>
        </w:rPr>
        <w:t>ול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29/09/13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שם דובר במערער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שנתפס נוהג ברכב בו היו אקדח ובו מחסנית ריקה מכדורים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עונשו </w:t>
      </w:r>
      <w:r>
        <w:rPr>
          <w:rFonts w:ascii="David" w:hAnsi="David"/>
          <w:b/>
          <w:b/>
          <w:bCs/>
          <w:rtl w:val="true"/>
        </w:rPr>
        <w:t xml:space="preserve">נגזר 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7"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))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זמני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-57" w:end="0"/>
        <w:contextualSpacing/>
        <w:jc w:val="both"/>
        <w:rPr>
          <w:rFonts w:ascii="Arial" w:hAnsi="Arial" w:cs="Arial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טביעות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האצבע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hyperlink r:id="rId27">
        <w:r>
          <w:rPr>
            <w:rStyle w:val="Hyperlink"/>
            <w:lang w:eastAsia="he-IL"/>
          </w:rPr>
          <w:t>40</w:t>
        </w:r>
        <w:r>
          <w:rPr>
            <w:rStyle w:val="Hyperlink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י</w:t>
        </w:r>
        <w:r>
          <w:rPr>
            <w:rStyle w:val="Hyperlink"/>
            <w:rtl w:val="true"/>
            <w:lang w:eastAsia="he-IL"/>
          </w:rPr>
          <w:t>'(</w:t>
        </w:r>
        <w:r>
          <w:rPr>
            <w:rStyle w:val="Hyperlink"/>
            <w:rtl w:val="true"/>
            <w:lang w:eastAsia="he-IL"/>
          </w:rPr>
          <w:t>ב</w:t>
        </w:r>
        <w:r>
          <w:rPr>
            <w:rStyle w:val="Hyperlink"/>
            <w:rtl w:val="true"/>
            <w:lang w:eastAsia="he-IL"/>
          </w:rPr>
          <w:t>)(</w:t>
        </w:r>
        <w:r>
          <w:rPr>
            <w:rStyle w:val="Hyperlink"/>
            <w:lang w:eastAsia="he-IL"/>
          </w:rPr>
          <w:t>1</w:t>
        </w:r>
        <w:r>
          <w:rPr>
            <w:rStyle w:val="Hyperlink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וכלל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לפיה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התייחסותו לנסיבות ביצוען הייתה מגמתית וממסכת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וכי התקשה לערוך התבוננות פנימית מעמיקה בנוגע לכשליו וקשייו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נטה לטשטש דפוסים מכשילים וייתכן וטשטש קשרים שוליים אשר ניהל טרם ביצוע העבירו</w:t>
      </w:r>
      <w:r>
        <w:rPr>
          <w:rFonts w:ascii="Arial" w:hAnsi="Arial" w:cs="Arial"/>
          <w:rtl w:val="true"/>
        </w:rPr>
        <w:t xml:space="preserve">ת </w:t>
      </w:r>
      <w:r>
        <w:rPr>
          <w:rFonts w:cs="Arial" w:ascii="Arial" w:hAnsi="Arial"/>
          <w:rtl w:val="true"/>
        </w:rPr>
        <w:t xml:space="preserve">-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-57" w:end="0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eastAsia="he-IL"/>
        </w:rPr>
        <w:t>סיכום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בחומרת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בנסיבותיהם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אשמו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בערכים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פגיעתו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בהם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הנוהגת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והמתחייבת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סבורני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מתחם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למעשי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 </w:t>
      </w:r>
      <w:r>
        <w:rPr>
          <w:b/>
          <w:b/>
          <w:bCs/>
          <w:rtl w:val="true"/>
          <w:lang w:eastAsia="he-IL"/>
        </w:rPr>
        <w:t>צריך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וינוע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13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252" w:before="0" w:after="160"/>
        <w:ind w:start="-57" w:end="0"/>
        <w:contextualSpacing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 w:before="240" w:after="0"/>
        <w:ind w:end="0"/>
        <w:jc w:val="both"/>
        <w:rPr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</w:rPr>
          <w:t>72031-02-19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31.12.19</w:t>
      </w:r>
      <w:r>
        <w:rPr>
          <w:rtl w:val="true"/>
        </w:rPr>
        <w:t>] :</w:t>
      </w:r>
    </w:p>
    <w:p>
      <w:pPr>
        <w:pStyle w:val="Normal"/>
        <w:spacing w:lineRule="auto" w:line="360" w:before="0" w:after="160"/>
        <w:ind w:start="-57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510" w:end="993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ומוסלק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b/>
          <w:bCs/>
          <w:rtl w:val="true"/>
        </w:rPr>
        <w:t xml:space="preserve">" [...]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ישנו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מדם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נרצחו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highlight w:val="green"/>
        </w:rPr>
      </w:pPr>
      <w:r>
        <w:rPr>
          <w:highlight w:val="green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וב</w:t>
      </w: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( 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tl w:val="true"/>
        </w:rPr>
        <w:t>:</w:t>
      </w:r>
    </w:p>
    <w:p>
      <w:pPr>
        <w:pStyle w:val="Normal"/>
        <w:spacing w:lineRule="auto" w:line="360" w:before="240" w:after="0"/>
        <w:ind w:start="510" w:end="993"/>
        <w:jc w:val="both"/>
        <w:rPr>
          <w:rFonts w:ascii="David" w:hAnsi="David" w:cs="David"/>
        </w:rPr>
      </w:pPr>
      <w:r>
        <w:rPr>
          <w:sz w:val="20"/>
          <w:rtl w:val="true"/>
        </w:rPr>
        <w:t>"</w:t>
      </w:r>
      <w:r>
        <w:rPr>
          <w:b/>
          <w:b/>
          <w:bCs/>
          <w:sz w:val="20"/>
          <w:sz w:val="20"/>
          <w:rtl w:val="true"/>
        </w:rPr>
        <w:t>דומה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אין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חולק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היום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שתמנון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תופעת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האלימות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Cs/>
          <w:sz w:val="20"/>
          <w:rtl w:val="true"/>
        </w:rPr>
        <w:t>(</w:t>
      </w:r>
      <w:r>
        <w:rPr>
          <w:b/>
          <w:b/>
          <w:bCs/>
          <w:sz w:val="20"/>
          <w:sz w:val="20"/>
          <w:rtl w:val="true"/>
        </w:rPr>
        <w:t>תוך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b/>
          <w:bCs/>
          <w:sz w:val="20"/>
          <w:rtl w:val="true"/>
        </w:rPr>
        <w:t xml:space="preserve">) </w:t>
      </w:r>
      <w:r>
        <w:rPr>
          <w:b/>
          <w:b/>
          <w:bCs/>
          <w:sz w:val="20"/>
          <w:sz w:val="20"/>
          <w:rtl w:val="true"/>
        </w:rPr>
        <w:t>שהחל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שולח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זרועותיו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המסוכנות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חלקה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טובה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במחוזותינו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התעצם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והפך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אכזר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ומסוכן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יותר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חלוף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הזמן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המציאות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אנו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חיים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כיום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האלימות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המתפשטת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ברחובות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הזעקה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לעזרה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 </w:t>
      </w:r>
      <w:r>
        <w:rPr>
          <w:b/>
          <w:b/>
          <w:bCs/>
          <w:sz w:val="20"/>
          <w:sz w:val="20"/>
          <w:rtl w:val="true"/>
        </w:rPr>
        <w:t>שנשמעת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עבר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היתר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שנעשה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המוחזק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באופן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חוקי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כל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אלה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יחדיו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מחייבים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לתרום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תרומתו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למען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מיגור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תופעה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במטרה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להוקיעה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השורש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ולגדוע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זרועות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הרע</w:t>
      </w:r>
      <w:r>
        <w:rPr>
          <w:b/>
          <w:bCs/>
          <w:sz w:val="20"/>
          <w:rtl w:val="true"/>
        </w:rPr>
        <w:t>".</w:t>
      </w:r>
    </w:p>
    <w:p>
      <w:pPr>
        <w:pStyle w:val="Normal"/>
        <w:spacing w:lineRule="auto" w:line="360" w:before="0" w:after="160"/>
        <w:ind w:firstLine="510" w:start="720" w:end="993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firstLine="57" w:start="-57" w:end="0"/>
        <w:contextualSpacing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כי על אף הודאת הנאשם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התייחסותו לנסיבות ביצוען הייתה מגמתית וממסכת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מתקשה לערוך התבוננות פנימית מעמיקה בנוגע לכשליו וקשייו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נטה לטשטש דפוסים מכשילים וייתכן וטשטש קשרים שוליים אשר ניהל טרם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אשר הביא בחשבון את גילו הצעיר המליץ על ענישה מוחשית  נוכח האמור ונוכח התרשמותו כי הנאשם אינו לוקח אחריות ממשית על העבירות בהן הודה והורשע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 w:before="240" w:after="0"/>
        <w:ind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"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tl w:val="true"/>
        </w:rPr>
        <w:t xml:space="preserve">),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וכדלקמן</w:t>
      </w:r>
      <w:r>
        <w:rPr>
          <w:rtl w:val="true"/>
        </w:rPr>
        <w:t xml:space="preserve">:   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74" w:end="0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החל מיום מעצרו בהתאם לרישומי 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74" w:end="0"/>
        <w:contextualSpacing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עבירת נשק  מסוג 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1074" w:end="0"/>
        <w:contextualSpacing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יעבור עבירת נשק מסוג עוון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1074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52" w:before="0" w:after="160"/>
        <w:ind w:start="-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התחמושת והמחסנית שנתפסו – יחולטו 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יושמדו לשיקול דעת היחידה החוקרת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 שטרית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98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13471-01-22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נביל אל סייד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.b.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520167" TargetMode="External"/><Relationship Id="rId11" Type="http://schemas.openxmlformats.org/officeDocument/2006/relationships/hyperlink" Target="http://www.nevo.co.il/case/2760387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case/28413605" TargetMode="External"/><Relationship Id="rId16" Type="http://schemas.openxmlformats.org/officeDocument/2006/relationships/hyperlink" Target="http://www.nevo.co.il/case/26913995" TargetMode="External"/><Relationship Id="rId17" Type="http://schemas.openxmlformats.org/officeDocument/2006/relationships/hyperlink" Target="http://www.nevo.co.il/case/26816262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6103748" TargetMode="External"/><Relationship Id="rId20" Type="http://schemas.openxmlformats.org/officeDocument/2006/relationships/hyperlink" Target="http://www.nevo.co.il/case/24288345" TargetMode="External"/><Relationship Id="rId21" Type="http://schemas.openxmlformats.org/officeDocument/2006/relationships/hyperlink" Target="http://www.nevo.co.il/case/27317991" TargetMode="External"/><Relationship Id="rId22" Type="http://schemas.openxmlformats.org/officeDocument/2006/relationships/hyperlink" Target="http://www.nevo.co.il/case/27122425" TargetMode="External"/><Relationship Id="rId23" Type="http://schemas.openxmlformats.org/officeDocument/2006/relationships/hyperlink" Target="http://www.nevo.co.il/case/25297178" TargetMode="External"/><Relationship Id="rId24" Type="http://schemas.openxmlformats.org/officeDocument/2006/relationships/hyperlink" Target="http://www.nevo.co.il/case/28413605" TargetMode="External"/><Relationship Id="rId25" Type="http://schemas.openxmlformats.org/officeDocument/2006/relationships/hyperlink" Target="http://www.nevo.co.il/case/27502726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law/70301/40j.b.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5496225" TargetMode="External"/><Relationship Id="rId30" Type="http://schemas.openxmlformats.org/officeDocument/2006/relationships/hyperlink" Target="http://www.nevo.co.il/case/27510949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2023-08-17T12:02:00Z</dcterms:created>
  <dc:creator> </dc:creator>
  <dc:description/>
  <cp:keywords/>
  <dc:language>en-IL</dc:language>
  <cp:lastModifiedBy>h1</cp:lastModifiedBy>
  <dcterms:modified xsi:type="dcterms:W3CDTF">2023-08-17T12:02:00Z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נביל אל סייד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25824863:2;25520167;27603872;28513828;28413605:2;26913995;26816262;26103748;24288345;27317991;27122425;25297178;27502726;6949290;25496225;27510949</vt:lpwstr>
  </property>
  <property fmtid="{D5CDD505-2E9C-101B-9397-08002B2CF9AE}" pid="9" name="CITY">
    <vt:lpwstr>ב"ש</vt:lpwstr>
  </property>
  <property fmtid="{D5CDD505-2E9C-101B-9397-08002B2CF9AE}" pid="10" name="DATE">
    <vt:lpwstr>20220929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 שטרית</vt:lpwstr>
  </property>
  <property fmtid="{D5CDD505-2E9C-101B-9397-08002B2CF9AE}" pid="14" name="LAWLISTTMP1">
    <vt:lpwstr>70301/144.a:2;040j.b.1</vt:lpwstr>
  </property>
  <property fmtid="{D5CDD505-2E9C-101B-9397-08002B2CF9AE}" pid="15" name="LAWYER">
    <vt:lpwstr>זוהר נאור;נאצר אלעטאונה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13471</vt:lpwstr>
  </property>
  <property fmtid="{D5CDD505-2E9C-101B-9397-08002B2CF9AE}" pid="22" name="NEWPARTB">
    <vt:lpwstr>01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380020220929</vt:lpwstr>
  </property>
  <property fmtid="{D5CDD505-2E9C-101B-9397-08002B2CF9AE}" pid="34" name="TYPE_N_DATE">
    <vt:lpwstr>38020220929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