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652"/>
        <w:gridCol w:w="1488"/>
        <w:gridCol w:w="3658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3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1363-04-22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652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245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לבנטל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65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245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 ראוף גרבאן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אבנון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11" w:name="ABSTRACT_START"/>
      <w:bookmarkStart w:id="12" w:name="ABSTRACT_START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המיוחסת לו בכתב האישום המתוקן סיוע בהחזקת 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סעיף </w:t>
      </w:r>
      <w:hyperlink r:id="rId13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</w:hyperlink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)+ </w:t>
      </w:r>
      <w:r>
        <w:rPr>
          <w:rFonts w:ascii="Arial" w:hAnsi="Arial" w:cs="Arial"/>
          <w:rtl w:val="true"/>
        </w:rPr>
        <w:t xml:space="preserve">עבירה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כתב האישום המתוקן הנאשם ועבידו עמאש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עבידו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הינם מכרים וגרים בשכונת כוש ביישוב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20/3/22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13:00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במתחם ביתו של עבידו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סייע הנאשם לאחר להחזיק תת מקלע מאולתר מסוג קרלו גוסטב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תת מקלע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ומחסנית ריקה תואמת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המחסנית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וזאת בלא רשות על פי דין להחזקתם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שנגע באצבעותיו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תת המקלע הוא כלי נשק שמסוגל לירות כדור ושבכוחו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והמחסנית היא אביזר לכלי נשק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לאחר להחזיק נשק ומחסנית המהווה אביזר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בלא רשות על פי דין להחזקתם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27/11/22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תיקון כתב האישום והרשעת הנאשם בעבירה המיוחסת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לדחות את ישיבת הטיעונים לעונש ולהפנות את עניינו של מרשו לממונה על עבודות השירות לצורך בדיקת כשירותו והתאמתו לריצוי עונש המאסר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אומנם התנגדה לבקשה זו שכן עמדתה העונשית הינה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בית המשפט נעתר לבקשה וזאת תוך הדגשת העובדה שאין בחוות דעת הממונה על עבודות השירות כדי ללמד על העונש אשר ייגזר על הנאשם בסופו של דבר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3/1/23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הוגשה מטעם הממונה על עבודות השירות חוות דעת חיובית לפיה הנאשם נמצא מתאים וכשיר לריצוי עונש המאסר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11/1/23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נשמעו בפני טיעוני הצדדים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הגישה טיעונים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ועתרה במסגרת טיעוניה לקביעת מתחם ענישה של מאסר בפועל בתקופה שבין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להטלת ענישה 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הדגישה במסגרת טיעוניה שאין להקל ראש מעצם חומרת העבירה בה הורשע הנאשם גם לאחר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עדיין עסקינן בעבירות הקשורות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מודע לביצוע העבירה ולסיכון הגלום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הפסיקה שדנה בעניינם של נאשמים המואשמים בעבירות הקשורות בנשק התייחסה רבות לסיכון הטמון בעבירות אלו ולחשיבות הטלת עונשים מרתיעים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עונשים שיבטאו העדפה של האינטרס הציבורי על פני נסיבותיו האישיות של הנאשם הקונקרטי העומד לדין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לפסיקה התומכת בעמדתה העונשית והדגישה שגם עבירת סיוע להחזקת נשק מקרבת את הסיכון לאלימות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בעבירה שכזו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טמון פוטנציאל ממשי למסוכנות רבה ואין לדעת מתי יתממש פוטנציאל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המאשימה שלא מדובר באירוע ספונטני ומקרי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סייע במודע להחזקת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המוגנים שנפגעו ממעשה הנאשם הם הבטחת שלום הציבור והגנה על חיי אדם ובית המשפט התבקש לתת ידו על מנת להוקיע מהשורש תופעות של הימצאות נשק בקרב האוכלוסיי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שעלול לזלוג לידיים עברייניות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לעמדת המאשימה הנזק הצפוי להיגרם מעבירה זו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בפועל לא נגרם נזק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שהנאשם יכול היה להבין את אשר הוא עושה ואת הפסול במעשיו ויכול היה להימנע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המאשימה שבנסיבות אלה יש לקבוע מתחם ענישה מחמיר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שנטען על ידה במסגרת טיעוניה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הדגישה המאשימה שלחובת הנאשם הרשעה אחת בפלילים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הנאשם לקח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בעבירה המיוחסת לו בכתב האישום המתוקן וחסך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במכלול הנתונים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הדגשת העובדה שעונש קל יעביר מסר שגוי לציבור ולנאשם עצמו ולא יהיה בו משום הרתעה של הרבים והיחיד מפני ביצוע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להטלת עונש מאסר בפועל מעל הרף התחתון של מתחם הענישה המוצע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מרתיע וקנס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הנאשם ציין במסגרת טיעוניו שחלקו של הנאשם הוא מזערי בלבד בכך שהנאשם בסך הכל נגע באצבעו בנשק שבאותה העת הוחזק על ידי האחר שכלל לא נעצר בגין 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אלה נוצרה הפליה בין הנאשם לבין אותו אחר שלא הועמד לדין שעה שהנאשם מסר את פרטיו המלאים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כי ברגע שהנאשם ראה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לעזוב את ביתו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ובעת מנוסתו מהמקום נתפס על ידי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בא כוח הנאשם שהסיוע להחזקה בנשק הוא רגעי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 בסופו של דבר יוחסה לו עבירה שהעונש המקסימאלי שלה הוא מחצית מהעונש הקבוע בחוק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שהה במעצר מתאריך </w:t>
      </w:r>
      <w:r>
        <w:rPr>
          <w:rFonts w:cs="Arial" w:ascii="Arial" w:hAnsi="Arial"/>
        </w:rPr>
        <w:t>20/3/22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תאריך </w:t>
      </w:r>
      <w:r>
        <w:rPr>
          <w:rFonts w:cs="Arial" w:ascii="Arial" w:hAnsi="Arial"/>
        </w:rPr>
        <w:t>21/6/22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ממועד זה נעצר עד תום ההליכים בפיקוח אזוק אלקטרוני לפרק זמן נוסף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נסיבות ביצוע העבירה מתחם העונש ההולם נע בין מאסר על תנאי לבין מספר חודשי מאסר שירוצו בעבודות שירות ובתוך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בא כוח הנאשם למקם את עונשו של מרשו ברף התחתון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לחילופין נטען כי במידה ובית המשפט ימצא לנכון להטיל על הנאשם עונש מאסר שירוצה בעבודות שירות יש לנכות את תקופת מעצרו וכן לקחת בחשבון את תקופת המעצר בפיקוח האזוק האלקטרוני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לעניין הרשעתו הקודמת של הנאשם נטען כי מדובר בהרשעה משנת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אירוע משנת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שלחובת הנאשם הרשעה אחת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דומה להרשעה מושא הליך זה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ללמוד ממנה כי אכן נשקפת מהנאשם מסוכנות ממשית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עיגן את הבניית שיקול הדעת השיפוטי והעניק מעמד בכורה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מתחם העונש ההולם למעשה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יתחשב בית המשפט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המפורטות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לכשייקבע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יקבע בית המשפט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יוטל על הנאשם וזאת בהתחשב בנסיבות שאינן קשורות בביצוע העבירה המפורטות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21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לעבירה בה הורשע הנאשם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בדבר חומרת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ומידת הפגיעה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במעשיו פגע בערכים חברתיים של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חיי אדם ועל הסדר הציבורי הואיל ונשק המוחזק שלא כדין עלול להביא לפגיעה בשלטון החוק ובנושאי שלטון החוק המבצעים את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דברים אלה יפים גם ביחס לעבירה בה הורשע הנאשם בהליך זה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להחזקת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מאוד בעבירה של החזקת נשק שלא כדין נוכח התופעה החמורה והמסוכנת של החזקת נשק בידיים שאינן מורשות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יש בה כדי להוביל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מובילה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למקרים חמורים של שימוש מסוכן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משום שהנשק מגיע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</w:t>
      </w:r>
      <w:r>
        <w:rPr>
          <w:rFonts w:ascii="David" w:hAnsi="David"/>
          <w:rtl w:val="true"/>
        </w:rPr>
        <w:t xml:space="preserve"> הנשק מגיע לידי מי שמנסים לפגוע בביטחונם ובשלומם של תושבי המדינה ובין אם מחמת שנגרמות תאונות כתוצאה מהשימוש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472</w:t>
      </w:r>
      <w:r>
        <w:rPr>
          <w:rFonts w:cs="David" w:ascii="David" w:hAnsi="David"/>
          <w:b/>
          <w:bCs/>
          <w:rtl w:val="true"/>
        </w:rPr>
        <w:t>;"</w:t>
      </w:r>
      <w:r>
        <w:rPr>
          <w:rFonts w:cs="David" w:ascii="David" w:hAnsi="David"/>
          <w:rtl w:val="true"/>
        </w:rPr>
        <w:t xml:space="preserve"> 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 מינימום ביחס לעבירה בה הורשע הנאשם בהליך זה שלפני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שנכתב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נשק לסוגיהן היו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יתירה מכך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עסקינן באיסורים על מעשי הכנה לקראת ביצועם של מעשים פליליים חמורים ומסוכנים עד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מאד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נעשים באמצעות כלי ירייה ואשר כוללים איומים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תקיפה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ירי במקום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גרימת חבלה והמתה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מעשי הכנה שאינם מגיעים כדי ניסיון לעבור עבירה פלילית אינם בני עונשין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ז פלר 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52-48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כרך ב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תשמ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מעשי הכנה כאלה נענשים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כאמור בסעיף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 זה ועונשים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שחלקם חמורים אף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מוטלים על עברייני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דברי השופט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אלרון 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5.11.2019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cs="David" w:ascii="David" w:hAnsi="David"/>
          <w:b/>
          <w:bCs/>
          <w:rtl w:val="true"/>
        </w:rPr>
        <w:t>))...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מגמת ההחמרה קיבלה ביטוי בפסיקתו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בכלל ובית המשפט העליון בראשם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מדיניות ענישה מחמירה ביחס לכל מי שעובר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מדיניות מחמירה זו הינה פועל יוצא של ריבוי המקרים שבהם נעשה שימוש בנשק המוחזק שלא כחוק המסכן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שנכתב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13.02.22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 כי יש לסווגן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ובראי התקופה – הפגיעה באינטרס הציבורי ובבטחון הפרט דורשת ענישה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מעבר לזו שהייתה נקוטה בעבר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</w:t>
      </w:r>
      <w:r>
        <w:rPr>
          <w:rFonts w:ascii="David" w:hAnsi="David"/>
          <w:b/>
          <w:b/>
          <w:bCs/>
          <w:rtl w:val="true"/>
        </w:rPr>
        <w:t>הפגיעה אף אינה תחומה רק לנזק הפיזי שנגרם כתוצאה מהשימוש בנשק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בכך נוצרת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הנפגע הפוטנציאלי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רובד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פועלה ושאיפתה לשלוט בתחומים רחבים ושונים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 xml:space="preserve">אקדח שיורה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השלישית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גורם כמובן לנזק 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אך גם אקדח שמונח על השולחן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הראשונה</w:t>
      </w:r>
      <w:r>
        <w:rPr>
          <w:rFonts w:cs="David" w:ascii="David" w:hAnsi="David"/>
          <w:b/>
          <w:bCs/>
          <w:rtl w:val="true"/>
        </w:rPr>
        <w:t xml:space="preserve">" – </w:t>
      </w:r>
      <w:r>
        <w:rPr>
          <w:rFonts w:ascii="David" w:hAnsi="David"/>
          <w:b/>
          <w:b/>
          <w:bCs/>
          <w:rtl w:val="true"/>
        </w:rPr>
        <w:t>אף אם לא נעשה בו כל שימוש אחר בהמשך – עלול לפגוע בשלום הציבור באופן ממשי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אין להפריז במשקל שיש לתת לנתונים כגון סוג האקדח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ולקבוע מעין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מדרגה עונשית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שמתמקדת אך ורק בנתון זה ובתוצאה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בסיכון שנוצר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העיקר נעוץ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בכוחו של הנשק לפגוע באדם – ואף להמיתו – ולשבש את חיי השגרה של החברה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שהובהר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חלק מרעתן החולה של עבירות הנשק מצוי לאו דווקא בשימוש הישיר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בנזקים שנלווים להחזקה ונשיאה של כלי נשק בידי אזרחים באופן בלתי חוקי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" 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עדים לקריאות של בתי המשפט בכל הערכאות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להעלות את רף הענישה בעבירות הנשק לסוגיהן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05.11.19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]) </w:t>
      </w:r>
      <w:r>
        <w:rPr>
          <w:rFonts w:ascii="David" w:hAnsi="David"/>
          <w:rtl w:val="true"/>
        </w:rPr>
        <w:t>יצאה קריאה ברורה ומפורשת להחמיר בענישה בעבירות נשק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 xml:space="preserve">. [...] </w:t>
      </w:r>
      <w:r>
        <w:rPr>
          <w:rFonts w:ascii="David" w:hAnsi="David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          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שנאמר 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23517-02-20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28.07.20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ניכרת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במיוחד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באה לידי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שהסף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התחתון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דהיינו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מאפשר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rtl w:val="true"/>
        </w:rPr>
        <w:t xml:space="preserve">." </w:t>
      </w:r>
      <w:r>
        <w:rPr>
          <w:rFonts w:ascii="David" w:hAnsi="David"/>
          <w:rtl w:val="true"/>
        </w:rPr>
        <w:t>וכן בהמשך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נסכם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הדברים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גזר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לעמוד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שהפכה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והביאה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כשבית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נקרא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;Arial" w:hAnsi="Arial TUR;Arial" w:cs="Arial TUR;Arial"/>
          <w:spacing w:val="10"/>
          <w:sz w:val="22"/>
          <w:szCs w:val="22"/>
        </w:rPr>
      </w:pPr>
      <w:r>
        <w:rPr>
          <w:rFonts w:cs="Arial TUR;Arial" w:ascii="Arial TUR;Arial" w:hAnsi="Arial TUR;Arial"/>
          <w:spacing w:val="10"/>
          <w:sz w:val="22"/>
          <w:szCs w:val="2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ומן הכלל אל הפרט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באחזקת ונשיאת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בכר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22.3.21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הורשעו בהובלת ונשיאת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טעונים כל אחד במחסנית מלאה ונאמר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יש להצר על כך שהמערערים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שאין להם עבר פלילי ולא הסתבכו בעבירות נוספות מאז האירוע נשוא כתב האישום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הסתבכו בעבירות כגון דא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בעבירות נשק ידועה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המדובר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שאת פירות הבאושים שלה אנו חווים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לצערנו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כמעט מידי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ומכאן מדיניות ההחמרה בעבירות כגון דא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  <w:spacing w:val="10"/>
        </w:rPr>
      </w:pPr>
      <w:r>
        <w:rPr>
          <w:rFonts w:cs="David" w:ascii="David" w:hAnsi="David"/>
          <w:b/>
          <w:bCs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20.6.21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שהוטל תוך חריגה ממתחם הענישה בשל שיקולי שיקום ונקבע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כפי שהדגשתי פעם אחר פעם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הסיכון הכרוך בעבירות של החזקת נשק שלא כדין נובע מהנזק הפוטנציאלי אשר עלול להיגרם ממנו – אף אם הנשק נתפס בטרם נזק זה התממש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שאנחנו נוכחים לדעת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הנשק עלול להגיע לידיים עברייניות וייעשה בו שימוש אשר יוביל בסופו של יום לגביית מחירים כבדים בנפש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ind w:end="1282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ונאמר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rtl w:val="true"/>
        </w:rPr>
        <w:t>(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25.8.2020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4065/18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איאסו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30.8.2018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במכלול הנסיבות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אנואר אבו סבית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08.12.14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בית המשפט העליון דחה ערעורו של המערער על גזר דינו של בית המשפט המחוזי במסגרתו הושתו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 בגין עבירה של החזקת נשק מסוג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נקבע כי המתחם שקבע בית המשפט המחוזי אשר נע בין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מתחם הענישה המקובל כיום בעבירות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בזייג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09.08.20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המערער הורשע בביצוע עבירות החזקת נשק שלא כדין והחזקת אבזר לנשק שלא כדין כך שנהג ברכב בנוף הגליל כשהוא מחזיק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מסוג דמוי רובה סער </w:t>
      </w:r>
      <w:r>
        <w:rPr>
          <w:rFonts w:cs="Times New Roman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 חלקים של כלי נשק תקניים ומחסנית תואמת ריקה מתחמושת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מתחם עונש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סלאמה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04.04.22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קבע בית המשפט המחוזי בחיפה שעבירות הנשק לרבות החזקתו 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אחת נקבע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נשק חוקי אשר מוחזק בידיים בלתי מוסמכות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להגיע לכלל שימוש בלתי חוקי ומסוכן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הדגיש לעניין זה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12888-03-22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07.11.22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המחוזי בחיפה את ערעור המדינה על קולת העונש שהוטל על הנאשם שהורשע בהחזקת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והחמיר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שם היה מבוגר בעל משפחה במצב כלכלי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הסובל ממגבלות בריאותיות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צריכה לשקף את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הסיכון הגלום בה ורק ענישה מחמירה יהיה בה כדי לשנות את המאזן ואת הכדאיות של מי ששוקל לעבור עבירות אלה גם אם מדובר באדם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סייע בהחזקת 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תת מקלע מ</w:t>
      </w:r>
      <w:r>
        <w:rPr>
          <w:rFonts w:ascii="David" w:hAnsi="David"/>
          <w:rtl w:val="true"/>
        </w:rPr>
        <w:t xml:space="preserve">אולתר </w:t>
      </w:r>
      <w:r>
        <w:rPr>
          <w:rFonts w:ascii="David" w:hAnsi="David"/>
          <w:rtl w:val="true"/>
        </w:rPr>
        <w:t xml:space="preserve">מסוג קרלו גוסטב ומחסנית ריקה תואמת </w:t>
      </w:r>
      <w:r>
        <w:rPr>
          <w:rFonts w:ascii="David" w:hAnsi="David"/>
          <w:rtl w:val="true"/>
        </w:rPr>
        <w:t>שמסוגל לירות כדור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שהנזק הטמון בו רב לאין ערוך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 לא נעשה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 אין בכך כאמור כדי להפחית מחומרת הנסיבות הקשורות בביצוע המעשים ולהתעלם מהפגיעות הפוטנציאליות שהיו עלולות להתרחש</w:t>
      </w:r>
      <w:r>
        <w:rPr>
          <w:rFonts w:ascii="David" w:hAnsi="David"/>
          <w:rtl w:val="true"/>
        </w:rPr>
        <w:t xml:space="preserve"> וזאת גם אם מדובר בעבירת סיוע המתבטאת בכך שהנאשם נגע באצבעותיו בנשק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 לצד הנסיבות אשר אוזכרו בפסיקה האמורה לעיל את נסיבותיו המיוחדות והייחודיות של מקרה זה אשר משקפות אירוע נקודתי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המתבטא בסיוע להחזקת נשק ומחסנית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הוחזק על ידי אחר והנאשם נגע בו באצבעותיו בלבד ומכאן אחריותו הנקודתית לביצוע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בהתחשב בעובדות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האמורות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ולאור </w:t>
      </w:r>
      <w:r>
        <w:rPr>
          <w:rFonts w:ascii="David" w:hAnsi="David"/>
          <w:rtl w:val="true"/>
        </w:rPr>
        <w:t xml:space="preserve">מגמת </w:t>
      </w:r>
      <w:r>
        <w:rPr>
          <w:rFonts w:ascii="David" w:hAnsi="David"/>
          <w:rtl w:val="true"/>
        </w:rPr>
        <w:t xml:space="preserve">הענישה </w:t>
      </w:r>
      <w:r>
        <w:rPr>
          <w:rFonts w:ascii="David" w:hAnsi="David"/>
          <w:rtl w:val="true"/>
        </w:rPr>
        <w:t>ההדרגתית של בית המשפט העליון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כי מתחם העונש ההולם בעניינו של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וזאת אילו היה הנאשם מורשע בעבירה של החזקת נשק ומחסנית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מאחר ובענייננו הנאשם הורשע בעבירה של סיוע להחזקת הנשק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לאמור </w:t>
      </w:r>
      <w:hyperlink r:id="rId44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שעונשו כמסייע יועמד על מחצית העונש הנקבע בחיקוק בשל ביצועה העיקרי של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לעבירה של החזקת נשק לפי סעיף </w:t>
      </w:r>
      <w:hyperlink r:id="rId46"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>+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יועמד העונש על מחצית התקופה הקבועה בהוראות חוק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ההולם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עונשו של הנאשם בתוך המתחם יש לקחת בחשבון את העובדה שהנאשם הודה בהזדמנות הראשונה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 הנאשם הרשע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קודמת</w:t>
      </w:r>
      <w:r>
        <w:rPr>
          <w:rFonts w:ascii="David" w:hAnsi="David"/>
          <w:rtl w:val="true"/>
        </w:rPr>
        <w:t xml:space="preserve"> אחת כעולה מת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שאינה דומה לעבירה מושא הליך זה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בטיעוניו לעונש ביקש בא כוח הנאשם להקל עם הנאשם ולזקוף לזכותו את הודאתו ולהתחשב בנסיבות </w:t>
      </w:r>
      <w:r>
        <w:rPr>
          <w:rFonts w:ascii="David" w:hAnsi="David"/>
          <w:rtl w:val="true"/>
        </w:rPr>
        <w:t>ביצוע העבירה ובמיוחד בעובדה שהמבצע העיקרי לא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נעצר ולא הועמד לדין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בצד 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 וחומרת העבירה המיוחסת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ישנם שיקולי ענישה רבים ומגוונים ובסופו של יום בגזירת הדין אמון בית המשפט על איזון האינטרסים השונים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 עומד בפני בית המשפט הצורך בהרתעת הרבים דוגמת הנאשם ובשמירה על אינטרס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מאידך עומדות נסיבותיו האישיות של הנאשם הספציפי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איזון שיקולים מתחייב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לו להתפרש כצעד המחייב את בית המשפט להעדיף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פני האינטרס הציבורי הדורש הרחקתו של העבריין מהחברה </w:t>
      </w:r>
      <w:r>
        <w:rPr>
          <w:rFonts w:cs="David" w:ascii="David" w:hAnsi="David"/>
          <w:rtl w:val="true"/>
        </w:rPr>
        <w:t>(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ענבתאוי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22.11.20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במקרה דנן יש צורך בהרתעת הרבים מפני ביצוע עבירות נשק מסוג זה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יש סיכוי של ממש שהחמרה בעונשו של הנאשם תביא להרתעת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חדשות לבקרים מתבצעים מקרי ירי תוך שימוש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בעשרות 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קיפדו חייהם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צעירים ומבוגרים כאחד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מעשי ירי ושימוש בנשק לא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 הפכו לנגע שהתפשט בחברה ועל בתי המשפט להילחם בנגע זה מלחמת חורמה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בהתחשב בחומרת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המיוחדות והחריגות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במידת אשמו של הנאשם</w:t>
      </w:r>
      <w:r>
        <w:rPr>
          <w:rFonts w:ascii="David" w:hAnsi="David"/>
          <w:rtl w:val="true"/>
        </w:rPr>
        <w:t xml:space="preserve"> המתבטאת בנגיעה רגעית וחפוזה 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</w:t>
      </w:r>
      <w:r>
        <w:rPr>
          <w:rFonts w:ascii="David" w:hAnsi="David"/>
          <w:rtl w:val="true"/>
        </w:rPr>
        <w:t>כים</w:t>
      </w:r>
      <w:r>
        <w:rPr>
          <w:rFonts w:ascii="David" w:hAnsi="David"/>
          <w:rtl w:val="true"/>
        </w:rPr>
        <w:t xml:space="preserve"> החברתי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שנפגע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ובמדיניות הענישה הנוהגת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 של הנאשם ובנסיבות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בחריגותו של מקרה זה ביחס למקרים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הקלאסיים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הנפוצים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לנכון בנסיבות העניין לקבוע שהענישה הראויה אשר תוטל על הנאשם תתבטא במאסר שירוצה בעבודות שירות לצד ענישה הצופה פני עתיד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על כן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מטיל על הנאשם את העונשים הבאים</w:t>
      </w:r>
      <w:r>
        <w:rPr>
          <w:rFonts w:cs="David" w:ascii="David" w:hAnsi="David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אשר ירוצה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מאחר והמועד לתחילת ריצוי עבודות השירות כפי שנקוב בחוות דעת זו חלף זה מכבר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מתבקש הממונה על עבודות השירות לתאם עבור הנאשם מועד חלופי לתחילת ריצוי עבודות השירות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מתקופת מאסר זו יש לנכות את תקופת המעצר בה שהה הנאשם מאחורי סורג ובריח על פי נתוני ותחשיבי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לנכות מתקופה זו את תקופת המעצר בפיקוח האזוק האלקטרוני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לתקופה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והתנאי הוא שהנאשם לא יעבור בפרק זמן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העבירה בה הורשע </w:t>
      </w:r>
      <w:r>
        <w:rPr>
          <w:rFonts w:ascii="David" w:hAnsi="David"/>
          <w:rtl w:val="true"/>
        </w:rPr>
        <w:t xml:space="preserve">בהליך זה שלפני או על כל </w:t>
      </w:r>
      <w:r>
        <w:rPr>
          <w:rFonts w:ascii="David" w:hAnsi="David"/>
          <w:rtl w:val="true"/>
        </w:rPr>
        <w:t>עבירת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סכום הקנס יקוזז מהפיקדון אשר הופקד בתיק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David" w:ascii="David" w:hAnsi="David"/>
            <w:color w:val="0000FF"/>
            <w:u w:val="single"/>
          </w:rPr>
          <w:t>1392-04-22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ככל שתיוותר תוחזר למפקיד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1363-04-22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עבד אל ראוף גרבאן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32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/40e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851382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7309272" TargetMode="External"/><Relationship Id="rId26" Type="http://schemas.openxmlformats.org/officeDocument/2006/relationships/hyperlink" Target="http://www.nevo.co.il/safrut/bookgroup/41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8883087" TargetMode="External"/><Relationship Id="rId30" Type="http://schemas.openxmlformats.org/officeDocument/2006/relationships/hyperlink" Target="http://www.nevo.co.il/case/28697218" TargetMode="External"/><Relationship Id="rId31" Type="http://schemas.openxmlformats.org/officeDocument/2006/relationships/hyperlink" Target="http://www.nevo.co.il/case/27925239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26442335" TargetMode="External"/><Relationship Id="rId34" Type="http://schemas.openxmlformats.org/officeDocument/2006/relationships/hyperlink" Target="http://www.nevo.co.il/case/26383419" TargetMode="External"/><Relationship Id="rId35" Type="http://schemas.openxmlformats.org/officeDocument/2006/relationships/hyperlink" Target="http://www.nevo.co.il/case/26931111" TargetMode="External"/><Relationship Id="rId36" Type="http://schemas.openxmlformats.org/officeDocument/2006/relationships/hyperlink" Target="http://www.nevo.co.il/case/27693610" TargetMode="External"/><Relationship Id="rId37" Type="http://schemas.openxmlformats.org/officeDocument/2006/relationships/hyperlink" Target="http://www.nevo.co.il/case/27648787" TargetMode="External"/><Relationship Id="rId38" Type="http://schemas.openxmlformats.org/officeDocument/2006/relationships/hyperlink" Target="http://www.nevo.co.il/case/26913995" TargetMode="External"/><Relationship Id="rId39" Type="http://schemas.openxmlformats.org/officeDocument/2006/relationships/hyperlink" Target="http://www.nevo.co.il/case/24263426" TargetMode="External"/><Relationship Id="rId40" Type="http://schemas.openxmlformats.org/officeDocument/2006/relationships/hyperlink" Target="http://www.nevo.co.il/case/16944929" TargetMode="External"/><Relationship Id="rId41" Type="http://schemas.openxmlformats.org/officeDocument/2006/relationships/hyperlink" Target="http://www.nevo.co.il/case/26833934" TargetMode="External"/><Relationship Id="rId42" Type="http://schemas.openxmlformats.org/officeDocument/2006/relationships/hyperlink" Target="http://www.nevo.co.il/case/28424228" TargetMode="External"/><Relationship Id="rId43" Type="http://schemas.openxmlformats.org/officeDocument/2006/relationships/hyperlink" Target="http://www.nevo.co.il/case/28378067" TargetMode="External"/><Relationship Id="rId44" Type="http://schemas.openxmlformats.org/officeDocument/2006/relationships/hyperlink" Target="http://www.nevo.co.il/law/70301/32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6888657" TargetMode="External"/><Relationship Id="rId49" Type="http://schemas.openxmlformats.org/officeDocument/2006/relationships/hyperlink" Target="http://www.nevo.co.il/case/28450600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2023-12-20T14:27:00Z</dcterms:created>
  <dc:creator> </dc:creator>
  <dc:description/>
  <cp:keywords/>
  <dc:language>en-IL</dc:language>
  <cp:lastModifiedBy>h2</cp:lastModifiedBy>
  <dcterms:modified xsi:type="dcterms:W3CDTF">2023-12-20T14:27:00Z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ראוף גרבאן </vt:lpwstr>
  </property>
  <property fmtid="{D5CDD505-2E9C-101B-9397-08002B2CF9AE}" pid="4" name="BOOKGROUPTMP1">
    <vt:lpwstr>412</vt:lpwstr>
  </property>
  <property fmtid="{D5CDD505-2E9C-101B-9397-08002B2CF9AE}" pid="5" name="CASESLISTTMP1">
    <vt:lpwstr>28513828;27309272;25824863:2;28883087;28697218;27925239;26442335;26383419;26931111;27693610;27648787;26913995;24263426;16944929;26833934;28424228;28378067;26888657;28450600</vt:lpwstr>
  </property>
  <property fmtid="{D5CDD505-2E9C-101B-9397-08002B2CF9AE}" pid="6" name="CITY">
    <vt:lpwstr>חד'</vt:lpwstr>
  </property>
  <property fmtid="{D5CDD505-2E9C-101B-9397-08002B2CF9AE}" pid="7" name="DATE">
    <vt:lpwstr>20230223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70301/144.a;031;040i;40ja;040d;040e;032;144</vt:lpwstr>
  </property>
  <property fmtid="{D5CDD505-2E9C-101B-9397-08002B2CF9AE}" pid="11" name="LAWYER">
    <vt:lpwstr>אופיר לבנטל;גיל אבנון</vt:lpwstr>
  </property>
  <property fmtid="{D5CDD505-2E9C-101B-9397-08002B2CF9AE}" pid="12" name="NEWPARTA">
    <vt:lpwstr>1363</vt:lpwstr>
  </property>
  <property fmtid="{D5CDD505-2E9C-101B-9397-08002B2CF9AE}" pid="13" name="NEWPARTB">
    <vt:lpwstr>04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380020230223</vt:lpwstr>
  </property>
  <property fmtid="{D5CDD505-2E9C-101B-9397-08002B2CF9AE}" pid="19" name="TYPE_N_DATE">
    <vt:lpwstr>38020230223</vt:lpwstr>
  </property>
  <property fmtid="{D5CDD505-2E9C-101B-9397-08002B2CF9AE}" pid="20" name="WORDNUMPAGES">
    <vt:lpwstr>11</vt:lpwstr>
  </property>
</Properties>
</file>