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18"/>
        <w:gridCol w:w="436"/>
        <w:gridCol w:w="986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8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1377-07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סוצינסקי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3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03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Cs/>
                <w:sz w:val="24"/>
                <w:szCs w:val="24"/>
                <w:rtl w:val="true"/>
              </w:rPr>
            </w:r>
            <w:bookmarkStart w:id="0" w:name="FirstAppellant"/>
            <w:bookmarkStart w:id="1" w:name="FirstAppellant"/>
            <w:bookmarkEnd w:id="1"/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משטרת נצרת 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תביעות מרחב עמקים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/>
                <w:bCs/>
                <w:sz w:val="24"/>
                <w:sz w:val="24"/>
                <w:szCs w:val="24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ילנה סוצינסקי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vanish/>
          <w:sz w:val="24"/>
          <w:szCs w:val="24"/>
          <w:highlight w:val="yellow"/>
        </w:rPr>
      </w:pPr>
      <w:r>
        <w:rPr>
          <w:vanish/>
          <w:sz w:val="24"/>
          <w:szCs w:val="24"/>
          <w:highlight w:val="yellow"/>
          <w:rtl w:val="true"/>
        </w:rPr>
        <w:t>&lt;</w:t>
      </w:r>
    </w:p>
    <w:tbl>
      <w:tblPr>
        <w:bidiVisual w:val="true"/>
        <w:tblW w:w="8562" w:type="dxa"/>
        <w:jc w:val="start"/>
        <w:tblInd w:w="15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5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bookmarkStart w:id="2" w:name="FirstLawyer"/>
            <w:bookmarkEnd w:id="2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5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מטעם המאשימה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 ברק</w:t>
            </w:r>
          </w:p>
          <w:p>
            <w:pPr>
              <w:pStyle w:val="Style15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sz w:val="24"/>
                <w:sz w:val="24"/>
                <w:rtl w:val="true"/>
              </w:rPr>
              <w:t>מטעם הנאשמת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בעצמה ובאמצעות 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 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 גלעד דן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bookmarkStart w:id="4" w:name="PsakDin"/>
      <w:bookmarkEnd w:id="4"/>
      <w:r>
        <w:rPr>
          <w:vanish/>
          <w:highlight w:val="yellow"/>
          <w:rtl w:val="true"/>
        </w:rPr>
        <w:t>&lt;&gt;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 סמך הודאת הנאשמת בעובדות כתב 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 מרשיע את הנאשמת בעבירות אשר יוחסו לה בכתב 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ומוצא אותה אשמה בדין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&lt;</w:t>
      </w:r>
      <w:r>
        <w:rPr>
          <w:b/>
          <w:bCs/>
          <w:sz w:val="24"/>
          <w:szCs w:val="24"/>
        </w:rPr>
        <w:t>#5#</w:t>
      </w:r>
      <w:r>
        <w:rPr>
          <w:b/>
          <w:bCs/>
          <w:sz w:val="24"/>
          <w:szCs w:val="24"/>
          <w:rtl w:val="true"/>
        </w:rPr>
        <w:t>&gt;</w:t>
      </w:r>
    </w:p>
    <w:p>
      <w:pPr>
        <w:pStyle w:val="Normal"/>
        <w:ind w:end="0"/>
        <w:jc w:val="end"/>
        <w:rPr>
          <w:sz w:val="24"/>
          <w:szCs w:val="24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ניתן והודע היום </w:t>
      </w:r>
      <w:r>
        <w:rPr>
          <w:vanish/>
          <w:sz w:val="24"/>
          <w:szCs w:val="24"/>
          <w:highlight w:val="yellow"/>
          <w:rtl w:val="true"/>
        </w:rPr>
        <w:t>&lt;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ב אייר 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vanish/>
          <w:sz w:val="24"/>
          <w:szCs w:val="24"/>
          <w:highlight w:val="yellow"/>
          <w:rtl w:val="true"/>
        </w:rPr>
        <w:t>&gt;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vanish/>
          <w:sz w:val="24"/>
          <w:szCs w:val="24"/>
          <w:highlight w:val="yellow"/>
          <w:rtl w:val="true"/>
        </w:rPr>
        <w:t>&lt;</w:t>
      </w:r>
      <w:r>
        <w:rPr>
          <w:b/>
          <w:bCs/>
          <w:sz w:val="24"/>
          <w:szCs w:val="24"/>
        </w:rPr>
        <w:t>14/4</w:t>
      </w:r>
      <w:r>
        <w:rPr>
          <w:b/>
          <w:bCs/>
          <w:sz w:val="24"/>
          <w:szCs w:val="24"/>
        </w:rPr>
        <w:t>/2008</w:t>
      </w:r>
      <w:r>
        <w:rPr>
          <w:vanish/>
          <w:sz w:val="24"/>
          <w:szCs w:val="24"/>
          <w:highlight w:val="yellow"/>
          <w:rtl w:val="true"/>
        </w:rPr>
        <w:t>&gt;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במעמד הנוכחים</w:t>
      </w:r>
      <w:r>
        <w:rPr>
          <w:b/>
          <w:bCs/>
          <w:sz w:val="24"/>
          <w:szCs w:val="24"/>
          <w:rtl w:val="true"/>
        </w:rPr>
        <w:t>.</w:t>
      </w:r>
    </w:p>
    <w:tbl>
      <w:tblPr>
        <w:bidiVisual w:val="true"/>
        <w:tblW w:w="622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28"/>
      </w:tblGrid>
      <w:tr>
        <w:trPr/>
        <w:tc>
          <w:tcPr>
            <w:tcW w:w="622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/>
        <w:tc>
          <w:tcPr>
            <w:tcW w:w="6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4"/>
                <w:sz w:val="24"/>
                <w:szCs w:val="24"/>
                <w:rtl w:val="true"/>
              </w:rPr>
              <w:t>תאופיק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4"/>
                <w:szCs w:val="24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4"/>
                <w:sz w:val="24"/>
                <w:szCs w:val="24"/>
                <w:rtl w:val="true"/>
              </w:rPr>
              <w:t>כתילי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4"/>
                <w:szCs w:val="24"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4"/>
                <w:sz w:val="24"/>
                <w:szCs w:val="24"/>
                <w:rtl w:val="true"/>
              </w:rPr>
              <w:t>נשיא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>
          <w:sz w:val="24"/>
          <w:szCs w:val="24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טיעונים לעונש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התובעת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 xml:space="preserve">נמצאה מחזיקה סם מסוג קוקאין משקל </w:t>
      </w:r>
      <w:r>
        <w:rPr>
          <w:sz w:val="24"/>
          <w:szCs w:val="24"/>
        </w:rPr>
        <w:t>0.32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לצריכה עצמית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לחובתה רישום פלילי אחד ללא הרשעה משנת </w:t>
      </w:r>
      <w:r>
        <w:rPr>
          <w:sz w:val="24"/>
          <w:szCs w:val="24"/>
        </w:rPr>
        <w:t>2007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 הגרלות והימורים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המאשימה סבורה כי נוכח כמות הסם וסוגו כי אין להקל עם הנאשמת ונבקש להשית מאסר על תנאי וקנס ופסילת רישיון נהיגה בפועל ועל תנאי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הסניגור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מבקש לא למצות עימה את 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מדובר בעבירה משנת </w:t>
      </w:r>
      <w:r>
        <w:rPr>
          <w:sz w:val="24"/>
          <w:szCs w:val="24"/>
        </w:rPr>
        <w:t>2006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חלפו כמעט שנתיים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ניתן לדבר על מעידה חד פעמית בתחום הסמים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הנאשמת לומדת במכללת לווינסקי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עצם ההרשעה עונש כבד לנאשמת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למרות הלימודים שלה לא תוכל לעסוק בהוראה לאור ההרשעה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מבקש להסתפק בעונש מותנה בלבד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 להטיל קנס פסילת רישיון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 מדובר בעבירות שגרמו נזק לציבור ולא היה שם סיוע ברכב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  <w:t>&lt;</w:t>
      </w:r>
      <w:r>
        <w:rPr>
          <w:sz w:val="24"/>
          <w:szCs w:val="24"/>
        </w:rPr>
        <w:t>#6#</w:t>
      </w:r>
      <w:r>
        <w:rPr>
          <w:sz w:val="24"/>
          <w:szCs w:val="24"/>
          <w:rtl w:val="true"/>
        </w:rPr>
        <w:t>&gt;</w:t>
      </w:r>
    </w:p>
    <w:p>
      <w:pPr>
        <w:pStyle w:val="Normal"/>
        <w:ind w:end="0"/>
        <w:jc w:val="end"/>
        <w:rPr>
          <w:sz w:val="24"/>
          <w:szCs w:val="24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ניתן והודע היום </w:t>
      </w:r>
      <w:r>
        <w:rPr>
          <w:vanish/>
          <w:sz w:val="24"/>
          <w:szCs w:val="24"/>
          <w:highlight w:val="yellow"/>
          <w:rtl w:val="true"/>
        </w:rPr>
        <w:t>&lt;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ב אייר 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vanish/>
          <w:sz w:val="24"/>
          <w:szCs w:val="24"/>
          <w:highlight w:val="yellow"/>
          <w:rtl w:val="true"/>
        </w:rPr>
        <w:t>&gt;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vanish/>
          <w:sz w:val="24"/>
          <w:szCs w:val="24"/>
          <w:highlight w:val="yellow"/>
          <w:rtl w:val="true"/>
        </w:rPr>
        <w:t>&lt;</w:t>
      </w:r>
      <w:r>
        <w:rPr>
          <w:b/>
          <w:bCs/>
          <w:sz w:val="24"/>
          <w:szCs w:val="24"/>
        </w:rPr>
        <w:t>14/4</w:t>
      </w:r>
      <w:r>
        <w:rPr>
          <w:b/>
          <w:bCs/>
          <w:sz w:val="24"/>
          <w:szCs w:val="24"/>
        </w:rPr>
        <w:t>/2008</w:t>
      </w:r>
      <w:r>
        <w:rPr>
          <w:vanish/>
          <w:sz w:val="24"/>
          <w:szCs w:val="24"/>
          <w:highlight w:val="yellow"/>
          <w:rtl w:val="true"/>
        </w:rPr>
        <w:t>&gt;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במעמד הנוכחים</w:t>
      </w:r>
      <w:r>
        <w:rPr>
          <w:b/>
          <w:bCs/>
          <w:sz w:val="24"/>
          <w:szCs w:val="24"/>
          <w:rtl w:val="true"/>
        </w:rPr>
        <w:t>.</w:t>
      </w:r>
    </w:p>
    <w:tbl>
      <w:tblPr>
        <w:bidiVisual w:val="true"/>
        <w:tblW w:w="622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28"/>
      </w:tblGrid>
      <w:tr>
        <w:trPr/>
        <w:tc>
          <w:tcPr>
            <w:tcW w:w="622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/>
        <w:tc>
          <w:tcPr>
            <w:tcW w:w="6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4"/>
                <w:sz w:val="24"/>
                <w:szCs w:val="24"/>
                <w:rtl w:val="true"/>
              </w:rPr>
              <w:t>תאופיק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4"/>
                <w:szCs w:val="24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4"/>
                <w:sz w:val="24"/>
                <w:szCs w:val="24"/>
                <w:rtl w:val="true"/>
              </w:rPr>
              <w:t>כתילי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4"/>
                <w:szCs w:val="24"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4"/>
                <w:sz w:val="24"/>
                <w:szCs w:val="24"/>
                <w:rtl w:val="true"/>
              </w:rPr>
              <w:t>נשיא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>
          <w:sz w:val="24"/>
          <w:szCs w:val="24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הנאשמת הורשעה על פי הודאתה בעבירות אשר יוחסו לה בכתב האישום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מדובר בעבירה חמורה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הנאשמת הורשעה בהחזקת סם מסוכן לשימוש עצמי מסוג קוקאין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הופנתה לשירות המבחן ובהמשך שירות המבחן הגיש תסקיר אשר ממליץ על ענישה הצופה פני העתיד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בהתחשב בהודאת הנאשמת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ובטיעוני שני הצדדים לעונש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המלצות שירות 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ומבלי שנעלמה מעיני בית המשפט חומרת העבירה בה הורשעה הנאשמת וסוג הסם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בית המשפט מחליט לאמץ את מסקנות שירות המבחן והתוצאה שאני גוזר על הנאשמת את העונשים הבאים</w:t>
      </w:r>
      <w:r>
        <w:rPr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 xml:space="preserve">אני מטיל על הנאשמת מאסר לתקופה של  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 על תנאי למשך שלוש 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 שלא תעבור והתנאי שלא תעבור ותורשע על כל עבירה מהעבירות המפורטות ב</w:t>
      </w:r>
      <w:hyperlink r:id="rId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534" w:start="567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הנאשמת תחתום על התחייבות כספית</w:t>
      </w:r>
      <w:r>
        <w:rPr>
          <w:rtl w:val="true"/>
        </w:rPr>
        <w:t xml:space="preserve">, </w:t>
      </w:r>
      <w:r>
        <w:rPr>
          <w:rtl w:val="true"/>
        </w:rPr>
        <w:t>לפיה תתחייב הנאשמת להמנע מביצוע כל אחת עבירה מהעבירות המפורטות ב</w:t>
      </w:r>
      <w:hyperlink r:id="rId3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34" w:start="33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גובה ההתחייבות </w:t>
      </w:r>
      <w:r>
        <w:rPr>
          <w:sz w:val="24"/>
          <w:szCs w:val="24"/>
        </w:rPr>
        <w:t>10,000</w:t>
      </w:r>
      <w:r>
        <w:rPr>
          <w:sz w:val="24"/>
          <w:szCs w:val="24"/>
          <w:rtl w:val="true"/>
        </w:rPr>
        <w:t xml:space="preserve">  -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משך ההתחייבות הינה לשלוש שנים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firstLine="534" w:start="33"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ּּבמידה והנאשם לא יחתום על ההתחייבות יאסר למשך </w:t>
      </w:r>
      <w:r>
        <w:rPr>
          <w:b/>
          <w:bCs/>
          <w:sz w:val="24"/>
          <w:szCs w:val="24"/>
          <w:u w:val="single"/>
        </w:rPr>
        <w:t>14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b/>
          <w:bCs/>
          <w:sz w:val="24"/>
          <w:szCs w:val="24"/>
          <w:u w:val="single"/>
          <w:rtl w:val="true"/>
        </w:rPr>
        <w:t>.</w:t>
      </w:r>
    </w:p>
    <w:p>
      <w:pPr>
        <w:pStyle w:val="2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המוצגים להשמדה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ּּזכות ערעור תוך </w:t>
      </w:r>
      <w:r>
        <w:rPr>
          <w:b/>
          <w:bCs/>
          <w:sz w:val="24"/>
          <w:szCs w:val="24"/>
          <w:u w:val="single"/>
        </w:rPr>
        <w:t>45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יום מהיום בבית משפט המחוזי בנצרת</w:t>
      </w:r>
      <w:r>
        <w:rPr>
          <w:b/>
          <w:bCs/>
          <w:sz w:val="24"/>
          <w:szCs w:val="24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&lt;</w:t>
      </w:r>
      <w:r>
        <w:rPr>
          <w:sz w:val="24"/>
          <w:szCs w:val="24"/>
        </w:rPr>
        <w:t>#7#</w:t>
      </w:r>
      <w:r>
        <w:rPr>
          <w:sz w:val="24"/>
          <w:szCs w:val="24"/>
          <w:rtl w:val="true"/>
        </w:rPr>
        <w:t>&gt;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sz w:val="24"/>
          <w:szCs w:val="24"/>
        </w:rPr>
      </w:pPr>
      <w:r>
        <w:rPr>
          <w:color w:val="FFFFFF"/>
          <w:sz w:val="24"/>
          <w:szCs w:val="24"/>
        </w:rPr>
        <w:t>5467831354678313</w:t>
      </w:r>
    </w:p>
    <w:tbl>
      <w:tblPr>
        <w:bidiVisual w:val="true"/>
        <w:tblW w:w="622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28"/>
      </w:tblGrid>
      <w:tr>
        <w:trPr/>
        <w:tc>
          <w:tcPr>
            <w:tcW w:w="622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 w:val="24"/>
                <w:szCs w:val="24"/>
              </w:rPr>
            </w:pPr>
            <w:r>
              <w:rPr>
                <w:rFonts w:ascii="David" w:hAnsi="David" w:eastAsia="David"/>
                <w:b/>
                <w:b/>
                <w:bCs/>
                <w:sz w:val="24"/>
                <w:sz w:val="24"/>
                <w:szCs w:val="24"/>
                <w:rtl w:val="true"/>
              </w:rPr>
              <w:t>ניתן והודע היום כ</w:t>
            </w:r>
            <w:r>
              <w:rPr>
                <w:rFonts w:eastAsia="David" w:cs="David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4"/>
                <w:sz w:val="24"/>
                <w:szCs w:val="24"/>
                <w:rtl w:val="true"/>
              </w:rPr>
              <w:t>ב אייר תשס</w:t>
            </w:r>
            <w:r>
              <w:rPr>
                <w:rFonts w:eastAsia="David" w:cs="David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eastAsia="David" w:cs="David"/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  <w:sz w:val="24"/>
                <w:szCs w:val="24"/>
              </w:rPr>
              <w:t>14/4/2008</w:t>
            </w:r>
            <w:r>
              <w:rPr>
                <w:rFonts w:eastAsia="David" w:cs="David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sz w:val="24"/>
                <w:sz w:val="24"/>
                <w:szCs w:val="24"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/>
        <w:tc>
          <w:tcPr>
            <w:tcW w:w="6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4"/>
                <w:sz w:val="24"/>
                <w:szCs w:val="24"/>
                <w:rtl w:val="true"/>
              </w:rPr>
              <w:t>תאופיק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4"/>
                <w:szCs w:val="24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4"/>
                <w:sz w:val="24"/>
                <w:szCs w:val="24"/>
                <w:rtl w:val="true"/>
              </w:rPr>
              <w:t>כתילי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4"/>
                <w:szCs w:val="24"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4"/>
                <w:sz w:val="24"/>
                <w:szCs w:val="24"/>
                <w:rtl w:val="true"/>
              </w:rPr>
              <w:t>נשיא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>
          <w:sz w:val="24"/>
          <w:szCs w:val="24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עריכת המסמך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Arial"/>
          <w:sz w:val="20"/>
          <w:sz w:val="20"/>
          <w:szCs w:val="20"/>
          <w:rtl w:val="true"/>
        </w:rPr>
        <w:t>חנה פאר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/Users/liorb/Downloads/study2025-p2/SH-07-1377.doc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1377-07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משטרת נצרת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תביעות מרחב עמקים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ילנה סוצינסקי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377-07"/>
    <w:docVar w:name="caseId" w:val="1974249"/>
    <w:docVar w:name="deriveClass" w:val="NGCS.Protocol.BL.Client.ProtocolBLClientCriminal"/>
    <w:docVar w:name="firstPageNumber" w:val="2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-1"/>
    <w:docVar w:name="releaseSign" w:val="0"/>
    <w:docVar w:name="sittingDateTime" w:val="14/04/2008 18:30     "/>
    <w:docVar w:name="sittingId" w:val="3016144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Style15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  <w:szCs w:val="24"/>
    </w:rPr>
  </w:style>
  <w:style w:type="paragraph" w:styleId="BodyTextIndent">
    <w:name w:val="Body Text Indent"/>
    <w:basedOn w:val="Normal"/>
    <w:pPr>
      <w:spacing w:lineRule="auto" w:line="360"/>
      <w:ind w:hanging="0" w:start="566" w:end="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2">
    <w:name w:val="כניסה בגוף טקסט 2"/>
    <w:basedOn w:val="Normal"/>
    <w:qFormat/>
    <w:pPr>
      <w:spacing w:lineRule="auto" w:line="360"/>
      <w:ind w:hanging="567" w:start="567" w:end="0"/>
      <w:jc w:val="both"/>
    </w:pPr>
    <w:rPr>
      <w:rFonts w:ascii="Times New Roman" w:hAnsi="Times New Roman" w:eastAsia="Times New Roman" w:cs="Times New Roman"/>
      <w:sz w:val="20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0_001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2008-06-24T14:25:00Z</dcterms:created>
  <dc:creator> </dc:creator>
  <dc:description/>
  <cp:keywords/>
  <dc:language>en-IL</dc:language>
  <cp:lastModifiedBy>hofit</cp:lastModifiedBy>
  <dcterms:modified xsi:type="dcterms:W3CDTF">2008-07-07T08:31:00Z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משטרת נצרת - תביעות מרחב עמקים</vt:lpwstr>
  </property>
  <property fmtid="{D5CDD505-2E9C-101B-9397-08002B2CF9AE}" pid="3" name="APPELLEE">
    <vt:lpwstr>ילנה סוצינסקי</vt:lpwstr>
  </property>
  <property fmtid="{D5CDD505-2E9C-101B-9397-08002B2CF9AE}" pid="4" name="CITY">
    <vt:lpwstr>נצ'</vt:lpwstr>
  </property>
  <property fmtid="{D5CDD505-2E9C-101B-9397-08002B2CF9AE}" pid="5" name="DATE">
    <vt:lpwstr>20080414</vt:lpwstr>
  </property>
  <property fmtid="{D5CDD505-2E9C-101B-9397-08002B2CF9AE}" pid="6" name="DELEMATA">
    <vt:lpwstr/>
  </property>
  <property fmtid="{D5CDD505-2E9C-101B-9397-08002B2CF9AE}" pid="7" name="JUDGE">
    <vt:lpwstr>תאופיק כתילי</vt:lpwstr>
  </property>
  <property fmtid="{D5CDD505-2E9C-101B-9397-08002B2CF9AE}" pid="8" name="LAWYER">
    <vt:lpwstr>ברק ;גלעד דן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1377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הכרעת-דין</vt:lpwstr>
  </property>
  <property fmtid="{D5CDD505-2E9C-101B-9397-08002B2CF9AE}" pid="32" name="TYPE">
    <vt:lpwstr>3</vt:lpwstr>
  </property>
  <property fmtid="{D5CDD505-2E9C-101B-9397-08002B2CF9AE}" pid="33" name="TYPE_ABS_DATE">
    <vt:lpwstr>380020080414</vt:lpwstr>
  </property>
  <property fmtid="{D5CDD505-2E9C-101B-9397-08002B2CF9AE}" pid="34" name="TYPE_N_DATE">
    <vt:lpwstr>38020080414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