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13822-09-13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טשייב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bookmarkStart w:id="1" w:name="_GoBack"/>
            <w:bookmarkEnd w:id="1"/>
            <w:r>
              <w:rPr>
                <w:rFonts w:cs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8980-08-13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Arial" w:ascii="Arial" w:hAnsi="Arial"/>
        </w:rPr>
        <w:t>4.9.2010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אמסטרדם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סבטלנה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זודזישסקיה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ניקולאי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טשייב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פולינה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1962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ה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384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התשל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186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).</w:t>
        </w:r>
      </w:hyperlink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הורשע  בביצוע עבירות של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גרימת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333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hyperlink r:id="rId20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 xml:space="preserve">במסגרת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הודה הנאשם כי בתאריך </w:t>
      </w:r>
      <w:r>
        <w:rPr>
          <w:rFonts w:cs="Calibri" w:ascii="Calibri" w:hAnsi="Calibri"/>
        </w:rPr>
        <w:t>26.8.13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פרץ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וגנב</w:t>
      </w:r>
      <w:r>
        <w:rPr>
          <w:rFonts w:ascii="Calibri" w:hAnsi="Calibri" w:cs="Calibri"/>
          <w:rtl w:val="true"/>
        </w:rPr>
        <w:t xml:space="preserve"> מתוכה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ARCTUS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יה </w:t>
      </w:r>
      <w:r>
        <w:rPr>
          <w:rFonts w:ascii="Calibri" w:hAnsi="Calibri" w:cs="Calibri"/>
          <w:rtl w:val="true"/>
        </w:rPr>
        <w:t>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אבטחה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הודה הנאשם כי שדד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ו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במסגרת עבודה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הוא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המלאכה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 המצוין לעיל 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ובסכין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נאשם שוח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 על בקשתו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לדרישת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בדרישה כ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המבוקש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 עימו אזיקונים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מתל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לאזוק</w:t>
      </w:r>
      <w:r>
        <w:rPr>
          <w:rFonts w:ascii="Calibri" w:hAnsi="Calibri" w:cs="Calibri"/>
          <w:rtl w:val="true"/>
        </w:rPr>
        <w:t xml:space="preserve">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וברגליו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אך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לא 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עשות 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אזק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 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</w:t>
      </w:r>
      <w:r>
        <w:rPr>
          <w:rFonts w:ascii="Calibri" w:hAnsi="Calibri" w:cs="Calibri"/>
          <w:rtl w:val="true"/>
        </w:rPr>
        <w:t xml:space="preserve"> 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הצליח </w:t>
      </w:r>
      <w:r>
        <w:rPr>
          <w:rFonts w:ascii="Calibri" w:hAnsi="Calibri" w:cs="Calibri"/>
          <w:rtl w:val="true"/>
        </w:rPr>
        <w:t>להשתחרר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"...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מקלדת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וחצובת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מצלמה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כמפורט בסעיף </w:t>
      </w:r>
      <w:r>
        <w:rPr>
          <w:rFonts w:cs="Calibri" w:ascii="Calibri" w:hAnsi="Calibri"/>
        </w:rPr>
        <w:t>6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לאישום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שולחן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ניסה </w:t>
      </w:r>
      <w:r>
        <w:rPr>
          <w:rFonts w:ascii="Calibri" w:hAnsi="Calibri" w:cs="Calibri"/>
          <w:rtl w:val="true"/>
        </w:rPr>
        <w:t>לברוח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מהמקום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שלוש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מהמקום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תכשיטים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10,000$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1,600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ascii="Calibri" w:hAnsi="Calibri" w:cs="Calibri"/>
          <w:rtl w:val="true"/>
        </w:rPr>
        <w:t xml:space="preserve"> אותם נטל משולחן בית המלאכה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כתוצאה מ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בהמשכו של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12.00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ויהלומים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אשר העסיק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תו</w:t>
      </w:r>
      <w:r>
        <w:rPr>
          <w:rFonts w:ascii="Calibri" w:hAnsi="Calibri" w:cs="Calibri"/>
          <w:rtl w:val="true"/>
        </w:rPr>
        <w:t xml:space="preserve"> בעבר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הגיע </w:t>
      </w:r>
      <w:r>
        <w:rPr>
          <w:rFonts w:ascii="Calibri" w:hAnsi="Calibri" w:cs="Calibri"/>
          <w:rtl w:val="true"/>
        </w:rPr>
        <w:t>לעסק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במשרדו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ודרש ממנו למסור 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ותכשיטים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 ל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בא </w:t>
      </w:r>
      <w:r>
        <w:rPr>
          <w:rFonts w:ascii="Calibri" w:hAnsi="Calibri" w:cs="Calibri"/>
          <w:rtl w:val="true"/>
        </w:rPr>
        <w:t>בעקבותיו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באיומי 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מאשתו של המתלונן שנכחה 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שתמסו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יהלומים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לדרישתו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כשהוא מורה למתלוננת ללוותו לכיוון היציאה </w:t>
      </w:r>
      <w:r>
        <w:rPr>
          <w:rFonts w:ascii="Calibri" w:hAnsi="Calibri" w:cs="Calibri"/>
          <w:rtl w:val="true"/>
        </w:rPr>
        <w:t>כשבידו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ימנית</w:t>
      </w:r>
      <w:r>
        <w:rPr>
          <w:rFonts w:cs="Calibri" w:ascii="Calibri" w:hAnsi="Calibri"/>
          <w:rtl w:val="true"/>
        </w:rPr>
        <w:t xml:space="preserve">.    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הגיעה להסדר טיעון עם הנאשם ובאת כוחו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ולפיו תוקן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באופן שאחת מהעבירות בהן הורשע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חבלה בכוונה מחמירה לפי סעיף 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</w:t>
      </w:r>
      <w:r>
        <w:rPr>
          <w:rFonts w:cs="Calibri" w:ascii="Calibri" w:hAnsi="Calibri"/>
          <w:rtl w:val="true"/>
        </w:rPr>
        <w:t xml:space="preserve">- 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רישא שהעונש בצידה הוא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הומרה לעבירה של חבלה חמורה בנסיבות מחמירות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עבירה לפי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יחד עם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שהעונש בצידה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הצדדים לא הגיעו ל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 לעונש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לנאשם עבר פלילי הכולל גניבה והונאה בכרטיס 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אף הורשע בעבר 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הודאתו בתקיפה חבלנית של בת זוגו וגרימת היזק בזדון בהיותו בגילופין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נפגע העבירה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בתיק 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 פציעתו בראשו וחוסר יכולתו לעבוד במשך חודש 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 תיאר המתלונן את המצוקה הנפשית בה הוא מצוי וכי הוא מקבל כיום טיפול תרופתי ומתקשה להירדם בלילות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צילומים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פציעותיו</w:t>
      </w:r>
      <w:r>
        <w:rPr>
          <w:rFonts w:ascii="Calibri" w:hAnsi="Calibri" w:cs="Calibri"/>
          <w:rtl w:val="true"/>
        </w:rPr>
        <w:t xml:space="preserve"> של המתלונן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מטעם ההגנה הוגש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אשפוז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וולפסון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ה של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כלאי רינה תורן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שובץ לטיפול גמילה בפרוייקט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בראשית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2.1.14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 מצוי בהליך טיפולי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ההליך השיקומי הביע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מטעם ההגנה אף העיד מר </w:t>
      </w:r>
      <w:r>
        <w:rPr>
          <w:rFonts w:ascii="Calibri" w:hAnsi="Calibri" w:cs="Calibri"/>
          <w:rtl w:val="true"/>
        </w:rPr>
        <w:t>רפאל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רפי</w:t>
      </w:r>
      <w:r>
        <w:rPr>
          <w:rFonts w:ascii="Calibri" w:hAnsi="Calibri" w:cs="Calibri"/>
          <w:rtl w:val="true"/>
        </w:rPr>
        <w:t xml:space="preserve"> 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אשר </w:t>
      </w:r>
      <w:r>
        <w:rPr>
          <w:rFonts w:ascii="Calibri" w:hAnsi="Calibri" w:cs="Calibri"/>
          <w:rtl w:val="true"/>
        </w:rPr>
        <w:t>העסיק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את הנאשם  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הביע 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הנאשם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ע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י ב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בצד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תשלום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לעונש הדגישה התובעת את ה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שהיה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שספגו ב</w:t>
      </w:r>
      <w:r>
        <w:rPr>
          <w:rFonts w:ascii="Calibri" w:hAnsi="Calibri" w:cs="Calibri"/>
          <w:rtl w:val="true"/>
        </w:rPr>
        <w:t>גופם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והנזק הכלכלי שנגרם ל</w:t>
      </w:r>
      <w:r>
        <w:rPr>
          <w:rFonts w:ascii="Calibri" w:hAnsi="Calibri" w:cs="Calibri"/>
          <w:rtl w:val="true"/>
        </w:rPr>
        <w:t>רכושם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עוד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הצטייד באקדח ובאזיקונים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שנקט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שכלל ירי כלפי שני המתלוננים כשבמקרה האחד פגע למזלו של המתלונן באישום השני בדלת ובחלון בית המלאכה ובמקרה נשוא האישום השלישי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בבטנו של 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מאשימה עתרה לענישה מצטברת לשני מעשי 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ציינה כי היא אינה מבקשת לקבוע מתחם ענישה נפרד </w:t>
      </w:r>
      <w:r>
        <w:rPr>
          <w:rFonts w:ascii="Calibri" w:hAnsi="Calibri" w:cs="Calibri"/>
          <w:rtl w:val="true"/>
        </w:rPr>
        <w:t>לעביר</w:t>
      </w:r>
      <w:r>
        <w:rPr>
          <w:rFonts w:ascii="Calibri" w:hAnsi="Calibri" w:cs="Calibri"/>
          <w:rtl w:val="true"/>
        </w:rPr>
        <w:t>ה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לעומתה </w:t>
      </w:r>
      <w:r>
        <w:rPr>
          <w:rFonts w:ascii="Calibri" w:hAnsi="Calibri" w:cs="Calibri"/>
          <w:rtl w:val="true"/>
        </w:rPr>
        <w:t>טוענת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ההתרחשויות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א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ר עומד לדעתה על תקופה ש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הסבירה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אך הוא </w:t>
      </w:r>
      <w:r>
        <w:rPr>
          <w:rFonts w:ascii="Calibri" w:hAnsi="Calibri" w:cs="Calibri"/>
          <w:rtl w:val="true"/>
        </w:rPr>
        <w:t>הידרדר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במוסקבה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שמצא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התאבדות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נגרר הנאשם לביצוע ה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אמנם אינו </w:t>
      </w:r>
      <w:r>
        <w:rPr>
          <w:rFonts w:ascii="Calibri" w:hAnsi="Calibri" w:cs="Calibri"/>
          <w:rtl w:val="true"/>
        </w:rPr>
        <w:t>מוגדר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היה טוב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היא הדגישה כי הנאשם לא נמלט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מהאמור לעיל לדעתה יש להסיק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ואף ב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ascii="Calibri" w:hAnsi="Calibri" w:cs="Calibri"/>
          <w:rtl w:val="true"/>
        </w:rPr>
        <w:t xml:space="preserve"> 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</w:t>
      </w:r>
      <w:r>
        <w:rPr>
          <w:rFonts w:ascii="Calibri" w:hAnsi="Calibri" w:cs="Calibri"/>
          <w:rtl w:val="true"/>
        </w:rPr>
        <w:t xml:space="preserve">ה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ציינה כי הנאשם הינו צורף שעבד אצל המתלונן שבאישום השלישי הלה גרם לו עוול ופיטר אותו מעבודתו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 החלה הידרדרותו המקצועית והנפשית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ידע שיש מצלמות אבטחה במקום והמתלוננים הכירו אותו והוא אף לא הסתיר את פניו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אף לא התכוון לטענתה לפגוע בביטנו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שהרי ירה לכיוון הדלת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התנהגותו לאחר המעשה מצביעים לדעתה על כך שלא פעל מרדיפת בצע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 ההליך השיקומי שהוא עובר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גמילתו מסמים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והודאתו בביצוע העבירות עתרה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להקלה בעונשו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עצמו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והסביר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מסתבך בביצועם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בפרויקט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א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עסקינן במי שפנה למעסיקיו הקודמים על מנת לקבל מהם תמיכה כספית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הגיע לפגישה עימם  לאחר שהצטייד באקדח ואזיקונים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משנכזבה תוחלתו לקבל מהם כסף הוא השתמש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ופצע את המתלונן שבאישום השלישי בירי בבטנו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וחבל במתלונן שבאישום השני באמצעות חפצים שהיו בבית המלאכה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השתמש בנשק גם כלפי המתלונן באישום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פגע בחלון בבית המלאכה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 שעלה בידי הנאשם לשדוד סכום בלתי מבוטל כבר במעשה השוד 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לא הסתפק 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שב והשלים ביצועו של מעשה שוד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 מתקשה לקבל איפוא את טענת ההגנה כי הנאשם לא פעל מתוך בצע כסף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מדובר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ההלכה הפסוקה קובעת 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זיהוי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והפרדה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מוכרע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קריטריונים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רציפות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שנמשכו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cs="Calibri" w:ascii="Calibri" w:hAnsi="Calibri"/>
          <w:b/>
          <w:bCs/>
          <w:rtl w:val="true"/>
        </w:rPr>
        <w:t xml:space="preserve">,  </w:t>
      </w:r>
      <w:r>
        <w:rPr>
          <w:rFonts w:ascii="Calibri" w:hAnsi="Calibri" w:cs="Calibri"/>
          <w:b/>
          <w:b/>
          <w:bCs/>
          <w:rtl w:val="true"/>
        </w:rPr>
        <w:t>הזיקה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הדמיון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שביניהם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תפ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49290-05-12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26.6.13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יחד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מהם סבל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נפגעה פגיעה נפשית גם אשת המתלונן באישום השלישי שנכחה 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בעת שבעלה דימם לנגד עיניה על הרצפה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נדרשה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הנאשם לאסוף עבורו תכשיטים ויהלומים משולחן העבודה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ביצע לאחר 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 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 שהתנגד 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תכשיטים ויהלומים בסכום בלתי מבוטל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כח הנאשם הודתה שלא כל הרכוש הושב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</w:t>
      </w:r>
      <w:r>
        <w:rPr>
          <w:rFonts w:ascii="Calibri" w:hAnsi="Calibri" w:cs="Calibri"/>
          <w:rtl w:val="true"/>
        </w:rPr>
        <w:t>לישי נקט הנאשם כאמור ב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אשת המתלונן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במקרה דנן קיימים איפוא מאפיינים גם מחמירים לא רק עקב חומרת הפציעה מקליע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נקבע מתחם ענישה שבין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מעשי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ספונטאני</w:t>
      </w:r>
      <w:r>
        <w:rPr>
          <w:rFonts w:cs="Calibri" w:ascii="Calibri" w:hAnsi="Calibri"/>
          <w:b/>
          <w:bCs/>
          <w:rtl w:val="true"/>
        </w:rPr>
        <w:t xml:space="preserve">',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חמורים</w:t>
      </w:r>
      <w:r>
        <w:rPr>
          <w:rFonts w:cs="Calibri" w:ascii="Calibri" w:hAnsi="Calibri"/>
          <w:rtl w:val="true"/>
        </w:rPr>
        <w:t>" (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29.6.14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נעשה שימוש ב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1127/13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גברזגיי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15.1.14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מיכלאשוילי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23.6.14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את 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2275/12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ליכטנשטיין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29.5.14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 אנטגרלי של תוכנית השוד היא לא בקשה כי יקבע מתחם ענישה נפרד לגניבת האקדח שבאישום הראשון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רק בדרך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לפיכך 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 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להתעלם מכך שהנאשם 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 חסך מקורבנותיו טראומה נוספת של חקירה מעל דוכן העדים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החל בתהליך 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שובץ לפרוייקט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בראשית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והוא מאמין כי בכוחותיו להשלים את התהליך הטיפולי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 כן ההקלה בעונשו של הנאשם נוכח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והחסכון בהעדת המתלוננים והליך השיקום בו החל תבוא לידי ביטוי בחפיפה  של עונשי המאסר המוטלים על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 כל המקובץ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ששקלתי את טיעוני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מטילה על הנאשם את העונשים 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200"/>
        <w:ind w:hanging="720" w:start="2160" w:end="851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 האקדח ו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 מטי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 w:before="0" w:after="200"/>
        <w:ind w:start="2160" w:end="851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העבירות נשוא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</w:t>
      </w:r>
      <w:r>
        <w:rPr>
          <w:rFonts w:ascii="Calibri" w:hAnsi="Calibri" w:cs="Calibri"/>
          <w:rtl w:val="true"/>
        </w:rPr>
        <w:t>ליש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 מ</w:t>
      </w:r>
      <w:r>
        <w:rPr>
          <w:rFonts w:ascii="Calibri" w:hAnsi="Calibri" w:cs="Calibri"/>
          <w:rtl w:val="true"/>
        </w:rPr>
        <w:t>ט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אני </w:t>
      </w:r>
      <w:r>
        <w:rPr>
          <w:rFonts w:ascii="Calibri" w:hAnsi="Calibri" w:cs="Calibri"/>
          <w:rtl w:val="true"/>
        </w:rPr>
        <w:t>חופ</w:t>
      </w:r>
      <w:r>
        <w:rPr>
          <w:rFonts w:ascii="Calibri" w:hAnsi="Calibri" w:cs="Calibri"/>
          <w:rtl w:val="true"/>
        </w:rPr>
        <w:t xml:space="preserve">פת חלק מתקופת המאסר שהוטלה על הנאשם בגין האישומים הראשון והשני עם עונש המאסר שהוטל באישום השלישי באופן שהוא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ירצה </w:t>
      </w:r>
      <w:r>
        <w:rPr>
          <w:rFonts w:cs="Calibri" w:ascii="Calibri" w:hAnsi="Calibri"/>
          <w:b/>
          <w:bCs/>
          <w:u w:val="single"/>
        </w:rPr>
        <w:t>8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שנות מאסר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החל מיום מעצרו בתאריך </w:t>
      </w:r>
      <w:r>
        <w:rPr>
          <w:rFonts w:cs="Calibri" w:ascii="Calibri" w:hAnsi="Calibri"/>
          <w:b/>
          <w:bCs/>
          <w:u w:val="single"/>
        </w:rPr>
        <w:t>27.8.2013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autoSpaceDE w:val="false"/>
        <w:spacing w:lineRule="auto" w:line="360" w:before="0" w:after="200"/>
        <w:ind w:start="180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 w:before="0" w:after="200"/>
        <w:ind w:start="180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 w:before="0" w:after="200"/>
        <w:ind w:hanging="720" w:start="21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שלא יעבור תוך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 עבירה מהעבירות בהן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כל עבירת רכוש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autoSpaceDE w:val="false"/>
        <w:spacing w:lineRule="auto" w:line="360" w:before="0" w:after="200"/>
        <w:ind w:start="21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אינני מפעילה את המאסר על תנאי שלטענת התביעה תלוי ועומד נגד הנאשם מהסיבות שנטענו על ידי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hanging="720" w:start="21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עקב מצבו הכלכלי של הנאשם ותקופת המאסר הממושכת שהוטלה עליו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לא אטיל עליו תשלום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למתלוננים 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הודע לנאשם על זכותו לערער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 לבית המשפט 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בנוכחות הצדדים והמתורגמן לשפה הרוסית מר לב </w:t>
      </w:r>
      <w:r>
        <w:rPr>
          <w:rFonts w:ascii="Arial" w:hAnsi="Arial" w:cs="Arial"/>
          <w:rtl w:val="true"/>
        </w:rPr>
        <w:t>קפלונוב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708" w:type="dxa"/>
        <w:jc w:val="start"/>
        <w:tblInd w:w="1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13822-09-13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ניקולאי טשייב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Style12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." TargetMode="External"/><Relationship Id="rId5" Type="http://schemas.openxmlformats.org/officeDocument/2006/relationships/hyperlink" Target="http://www.nevo.co.il/law/70301/186.a." TargetMode="External"/><Relationship Id="rId6" Type="http://schemas.openxmlformats.org/officeDocument/2006/relationships/hyperlink" Target="http://www.nevo.co.il/law/70301/329.a.1." TargetMode="External"/><Relationship Id="rId7" Type="http://schemas.openxmlformats.org/officeDocument/2006/relationships/hyperlink" Target="http://www.nevo.co.il/law/70301/329.a.2.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.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2.b.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2.b." TargetMode="External"/><Relationship Id="rId15" Type="http://schemas.openxmlformats.org/officeDocument/2006/relationships/hyperlink" Target="http://www.nevo.co.il/law/70301/144.b." TargetMode="External"/><Relationship Id="rId16" Type="http://schemas.openxmlformats.org/officeDocument/2006/relationships/hyperlink" Target="http://www.nevo.co.il/law/70301/186.a." TargetMode="External"/><Relationship Id="rId17" Type="http://schemas.openxmlformats.org/officeDocument/2006/relationships/hyperlink" Target="http://www.nevo.co.il/law/70301/402.b.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3" TargetMode="External"/><Relationship Id="rId20" Type="http://schemas.openxmlformats.org/officeDocument/2006/relationships/hyperlink" Target="http://www.nevo.co.il/law/70301/335.a.1." TargetMode="External"/><Relationship Id="rId21" Type="http://schemas.openxmlformats.org/officeDocument/2006/relationships/hyperlink" Target="http://www.nevo.co.il/law/70301/144.b." TargetMode="External"/><Relationship Id="rId22" Type="http://schemas.openxmlformats.org/officeDocument/2006/relationships/hyperlink" Target="http://www.nevo.co.il/law/70301/329.a.1." TargetMode="External"/><Relationship Id="rId23" Type="http://schemas.openxmlformats.org/officeDocument/2006/relationships/hyperlink" Target="http://www.nevo.co.il/law/70301/329.a.2.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/335.a.1.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172599" TargetMode="External"/><Relationship Id="rId28" Type="http://schemas.openxmlformats.org/officeDocument/2006/relationships/hyperlink" Target="http://www.nevo.co.il/case/6018516" TargetMode="External"/><Relationship Id="rId29" Type="http://schemas.openxmlformats.org/officeDocument/2006/relationships/hyperlink" Target="http://www.nevo.co.il/case/11328863" TargetMode="External"/><Relationship Id="rId30" Type="http://schemas.openxmlformats.org/officeDocument/2006/relationships/hyperlink" Target="http://www.nevo.co.il/case/557908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2014-09-08T12:27:00Z</dcterms:created>
  <dc:creator> </dc:creator>
  <dc:description/>
  <cp:keywords/>
  <dc:language>en-IL</dc:language>
  <cp:lastModifiedBy>hofit</cp:lastModifiedBy>
  <dcterms:modified xsi:type="dcterms:W3CDTF">2014-09-08T12:27:00Z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ניקולאי טשייב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ProcID=210&amp;PartA=49290&amp;PartB=05&amp;PartC=12</vt:lpwstr>
  </property>
  <property fmtid="{D5CDD505-2E9C-101B-9397-08002B2CF9AE}" pid="9" name="CASESLISTTMP1">
    <vt:lpwstr>5172599;6018516;11328863;5579081</vt:lpwstr>
  </property>
  <property fmtid="{D5CDD505-2E9C-101B-9397-08002B2CF9AE}" pid="10" name="CITY">
    <vt:lpwstr>ת"א</vt:lpwstr>
  </property>
  <property fmtid="{D5CDD505-2E9C-101B-9397-08002B2CF9AE}" pid="11" name="DATE">
    <vt:lpwstr>20140904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יהודית אמסטרדם</vt:lpwstr>
  </property>
  <property fmtid="{D5CDD505-2E9C-101B-9397-08002B2CF9AE}" pid="15" name="LAWLISTTMP1">
    <vt:lpwstr>70301/384;402.b.:2;144.b.:2;186.a.;333:2;335.a.1.:2;329.a.1.;329.a.2.</vt:lpwstr>
  </property>
  <property fmtid="{D5CDD505-2E9C-101B-9397-08002B2CF9AE}" pid="16" name="LAWYER">
    <vt:lpwstr>סבטלנה זודזישסקיה;פולינה סורין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13822</vt:lpwstr>
  </property>
  <property fmtid="{D5CDD505-2E9C-101B-9397-08002B2CF9AE}" pid="23" name="NEWPARTB">
    <vt:lpwstr>09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390020140904</vt:lpwstr>
  </property>
  <property fmtid="{D5CDD505-2E9C-101B-9397-08002B2CF9AE}" pid="35" name="TYPE_N_DATE">
    <vt:lpwstr>39020140904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