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13842-12-12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קקזנוב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אביטל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פורטנוי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קקזנוב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FrankRuehl" w:cs="FrankRuehl" w:ascii="FrankRuehl" w:hAnsi="FrankRuehl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שב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מיוצג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הילה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עקרבי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inks_Kitvei_Start"/>
      <w:bookmarkStart w:id="4" w:name="Links_Kitvei_Start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bookmarkStart w:id="5" w:name="Links_Kitvei_Start"/>
      <w:bookmarkEnd w:id="5"/>
      <w:r>
        <w:rPr>
          <w:rFonts w:ascii="FrankRuehl" w:hAnsi="FrankRuehl" w:cs="FrankRuehl"/>
          <w:rtl w:val="true"/>
        </w:rPr>
        <w:t>כתבי עת</w:t>
      </w:r>
      <w:r>
        <w:rPr>
          <w:rFonts w:cs="FrankRuehl" w:ascii="FrankRuehl" w:hAnsi="FrankRuehl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u w:val="single"/>
        </w:rPr>
      </w:pPr>
      <w:r>
        <w:rPr>
          <w:rFonts w:cs="FrankRuehl" w:ascii="FrankRuehl" w:hAnsi="FrankRuehl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"/>
      <w:bookmarkStart w:id="7" w:name="Links_Kitvei_End"/>
      <w:bookmarkStart w:id="8" w:name="LawTable"/>
      <w:bookmarkStart w:id="9" w:name="Links_Kitvei_End"/>
      <w:bookmarkEnd w:id="8"/>
      <w:bookmarkEnd w:id="9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406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10" w:name="LawTable_End"/>
      <w:bookmarkStart w:id="11" w:name="LawTable_End"/>
      <w:bookmarkEnd w:id="11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12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12"/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/>
          <w:bCs/>
          <w:sz w:val="28"/>
          <w:sz w:val="28"/>
          <w:szCs w:val="28"/>
          <w:rtl w:val="true"/>
        </w:rPr>
        <w:t>כתב</w:t>
      </w:r>
      <w:r>
        <w:rPr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David"/>
          <w:b/>
          <w:b/>
          <w:bCs/>
          <w:sz w:val="28"/>
          <w:sz w:val="28"/>
          <w:szCs w:val="28"/>
          <w:rtl w:val="true"/>
        </w:rPr>
        <w:t>האישום</w:t>
      </w:r>
    </w:p>
    <w:p>
      <w:pPr>
        <w:pStyle w:val="BodyText"/>
        <w:ind w:end="0"/>
        <w:jc w:val="both"/>
        <w:rPr>
          <w:rFonts w:cs="David"/>
          <w:b/>
          <w:bCs/>
          <w:sz w:val="28"/>
          <w:szCs w:val="28"/>
        </w:rPr>
      </w:pPr>
      <w:r>
        <w:rPr>
          <w:rFonts w:cs="David"/>
          <w:b/>
          <w:bCs/>
          <w:sz w:val="28"/>
          <w:szCs w:val="28"/>
          <w:rtl w:val="true"/>
        </w:rPr>
      </w:r>
    </w:p>
    <w:p>
      <w:pPr>
        <w:pStyle w:val="BodyText"/>
        <w:ind w:hanging="720" w:start="720" w:end="0"/>
        <w:jc w:val="both"/>
        <w:rPr>
          <w:rFonts w:cs="David"/>
        </w:rPr>
      </w:pPr>
      <w:r>
        <w:rPr>
          <w:rFonts w:cs="David"/>
        </w:rPr>
        <w:t>1</w:t>
      </w:r>
      <w:r>
        <w:rPr>
          <w:rFonts w:cs="David"/>
          <w:rtl w:val="true"/>
        </w:rPr>
        <w:t>.</w:t>
        <w:tab/>
      </w:r>
      <w:bookmarkStart w:id="13" w:name="ABSTRACT_START"/>
      <w:bookmarkEnd w:id="13"/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הורשע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הודאתו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המתוקן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בעבירות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שלהלן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התפרצות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5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406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Fonts w:cs="David"/>
            <w:rtl w:val="true"/>
          </w:rPr>
          <w:t>ב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hyperlink r:id="rId6">
        <w:r>
          <w:rPr>
            <w:rStyle w:val="Hyperlink"/>
            <w:rFonts w:cs="David"/>
            <w:rtl w:val="true"/>
          </w:rPr>
          <w:t>חוק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Fonts w:cs="David"/>
          <w:rtl w:val="true"/>
        </w:rPr>
        <w:t>תשל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ז</w:t>
      </w:r>
      <w:r>
        <w:rPr>
          <w:rtl w:val="true"/>
        </w:rPr>
        <w:t xml:space="preserve"> 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 xml:space="preserve"> </w:t>
      </w:r>
      <w:r>
        <w:rPr>
          <w:rFonts w:cs="David"/>
        </w:rPr>
        <w:t>1977</w:t>
      </w:r>
      <w:r>
        <w:rPr>
          <w:rFonts w:cs="David"/>
          <w:rtl w:val="true"/>
        </w:rPr>
        <w:t xml:space="preserve"> (</w:t>
      </w:r>
      <w:r>
        <w:rPr>
          <w:rFonts w:cs="David"/>
          <w:rtl w:val="true"/>
        </w:rPr>
        <w:t>להלן</w:t>
      </w:r>
      <w:r>
        <w:rPr>
          <w:rFonts w:cs="David"/>
          <w:rtl w:val="true"/>
        </w:rPr>
        <w:t xml:space="preserve">: </w:t>
      </w:r>
      <w:r>
        <w:rPr>
          <w:rFonts w:cs="David"/>
          <w:b/>
          <w:b/>
          <w:bCs/>
          <w:rtl w:val="true"/>
        </w:rPr>
        <w:t>חוק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העונשין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hyperlink r:id="rId7">
        <w:r>
          <w:rPr>
            <w:rStyle w:val="Hyperlink"/>
            <w:rFonts w:cs="David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275</w:t>
        </w:r>
      </w:hyperlink>
      <w:r>
        <w:rPr>
          <w:rFonts w:cs="David"/>
          <w:rtl w:val="true"/>
        </w:rPr>
        <w:t xml:space="preserve"> 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העונשין</w:t>
      </w:r>
      <w:bookmarkStart w:id="14" w:name="ABSTRACT_END"/>
      <w:bookmarkEnd w:id="14"/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3.12.12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12:43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בסמוך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בצוותא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שעון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ראדו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יהלום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עגילי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וטאבלט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אפל</w:t>
      </w:r>
      <w:r>
        <w:rPr>
          <w:rFonts w:cs="David"/>
          <w:rtl w:val="true"/>
        </w:rPr>
        <w:t xml:space="preserve">", </w:t>
      </w:r>
      <w:r>
        <w:rPr>
          <w:rFonts w:cs="David"/>
          <w:rtl w:val="true"/>
        </w:rPr>
        <w:t>שהינם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רכוש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הבחינו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השחור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ונכנסו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מהמר</w:t>
      </w:r>
      <w:r>
        <w:rPr>
          <w:rFonts w:cs="David"/>
          <w:rtl w:val="true"/>
        </w:rPr>
        <w:t>פ</w:t>
      </w:r>
      <w:r>
        <w:rPr>
          <w:rFonts w:cs="David"/>
          <w:rtl w:val="true"/>
        </w:rPr>
        <w:t>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לרחוב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שהתפצלו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נסיבות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משטרה</w:t>
      </w:r>
      <w:r>
        <w:rPr>
          <w:rFonts w:cs="David"/>
          <w:rtl w:val="true"/>
        </w:rPr>
        <w:t xml:space="preserve">" </w:t>
      </w:r>
      <w:r>
        <w:rPr>
          <w:rFonts w:cs="David"/>
          <w:rtl w:val="true"/>
        </w:rPr>
        <w:t>הנאשם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הכשילו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להימלט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Fonts w:cs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טיעוני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hyperlink r:id="rId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44623-02-10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2"/>
        <w:ind w:hanging="0" w:start="0" w:end="0"/>
        <w:jc w:val="both"/>
        <w:rPr>
          <w:rFonts w:cs="David"/>
          <w:color w:val="000000"/>
          <w:sz w:val="28"/>
          <w:szCs w:val="28"/>
        </w:rPr>
      </w:pPr>
      <w:r>
        <w:rPr>
          <w:rFonts w:cs="David"/>
          <w:color w:val="000000"/>
          <w:sz w:val="28"/>
          <w:sz w:val="28"/>
          <w:szCs w:val="28"/>
          <w:rtl w:val="true"/>
        </w:rPr>
        <w:t>מדיניות</w:t>
      </w:r>
      <w:r>
        <w:rPr>
          <w:rFonts w:eastAsia="Cambria" w:cs="Cambria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rtl w:val="true"/>
        </w:rPr>
        <w:t>הענישה</w:t>
      </w:r>
      <w:r>
        <w:rPr>
          <w:rFonts w:eastAsia="Cambria" w:cs="Cambria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rtl w:val="true"/>
        </w:rPr>
        <w:t>בעבירת</w:t>
      </w:r>
      <w:r>
        <w:rPr>
          <w:rFonts w:eastAsia="Cambria" w:cs="Cambria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David"/>
          <w:color w:val="000000"/>
          <w:sz w:val="28"/>
          <w:sz w:val="28"/>
          <w:szCs w:val="28"/>
          <w:rtl w:val="true"/>
        </w:rPr>
        <w:t>ההתפרצות</w:t>
      </w:r>
    </w:p>
    <w:p>
      <w:pPr>
        <w:pStyle w:val="Normal"/>
        <w:spacing w:lineRule="auto" w:line="360"/>
        <w:ind w:hanging="720" w:start="720" w:end="0"/>
        <w:jc w:val="both"/>
        <w:rPr>
          <w:rFonts w:cs="David"/>
          <w:color w:val="000000"/>
          <w:sz w:val="28"/>
          <w:szCs w:val="28"/>
        </w:rPr>
      </w:pPr>
      <w:r>
        <w:rPr>
          <w:rFonts w:cs="David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10.7.12</w:t>
      </w:r>
      <w:r>
        <w:rPr>
          <w:rtl w:val="true"/>
        </w:rPr>
        <w:t xml:space="preserve">. </w:t>
      </w:r>
      <w:r>
        <w:rPr>
          <w:rtl w:val="true"/>
        </w:rPr>
        <w:t>בהצעת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הצעת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92</w:t>
      </w:r>
      <w:r>
        <w:rPr>
          <w:rtl w:val="true"/>
        </w:rPr>
        <w:t>) (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)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(</w:t>
      </w:r>
      <w:r>
        <w:rPr>
          <w:rtl w:val="true"/>
        </w:rPr>
        <w:t>הצ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241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ביוני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446</w:t>
      </w:r>
      <w:r>
        <w:rPr>
          <w:rtl w:val="true"/>
        </w:rPr>
        <w:t xml:space="preserve">), </w:t>
      </w:r>
      <w:r>
        <w:rPr>
          <w:rtl w:val="true"/>
        </w:rPr>
        <w:t>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</w:t>
      </w:r>
      <w:r>
        <w:rPr>
          <w:rtl w:val="true"/>
        </w:rPr>
        <w:t xml:space="preserve">, </w:t>
      </w:r>
      <w:r>
        <w:rPr>
          <w:rtl w:val="true"/>
        </w:rPr>
        <w:t>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בדימוס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הרעיון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הושמט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tl w:val="true"/>
        </w:rPr>
        <w:t xml:space="preserve">,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מהפקולטה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באוניברסיטת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הסעה</w:t>
      </w:r>
      <w:r>
        <w:rPr>
          <w:rtl w:val="true"/>
        </w:rPr>
        <w:t xml:space="preserve">, </w:t>
      </w:r>
      <w:r>
        <w:rPr>
          <w:rtl w:val="true"/>
        </w:rPr>
        <w:t>הלנה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זרים</w:t>
      </w:r>
      <w:r>
        <w:rPr>
          <w:rtl w:val="true"/>
        </w:rPr>
        <w:t xml:space="preserve">.  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ופרופ</w:t>
      </w:r>
      <w:r>
        <w:rPr>
          <w:rtl w:val="true"/>
        </w:rPr>
        <w:t xml:space="preserve">' </w:t>
      </w:r>
      <w:r>
        <w:rPr>
          <w:rtl w:val="true"/>
        </w:rPr>
        <w:t>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בחירת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ויישום</w:t>
      </w:r>
      <w:r>
        <w:rPr>
          <w:rtl w:val="true"/>
        </w:rPr>
        <w:t xml:space="preserve">" 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המחקר</w:t>
      </w:r>
      <w:r>
        <w:rPr>
          <w:rtl w:val="true"/>
        </w:rPr>
        <w:t xml:space="preserve">).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החוקה</w:t>
      </w:r>
      <w:r>
        <w:rPr>
          <w:rtl w:val="true"/>
        </w:rPr>
        <w:t xml:space="preserve">,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: </w:t>
      </w:r>
      <w:r>
        <w:rPr/>
        <w:t>www.knesset.gov/committees/heb/material/data/31.12.09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גזל–אייל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ורות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rtl w:val="true"/>
          </w:rPr>
          <w:t>קנאי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כיצד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קובעים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עונשי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מוצא</w:t>
        </w:r>
        <w:r>
          <w:rPr>
            <w:rStyle w:val="Hyperlink"/>
            <w:rtl w:val="true"/>
          </w:rPr>
          <w:t>?</w:t>
        </w:r>
      </w:hyperlink>
      <w:r>
        <w:rPr>
          <w:rtl w:val="true"/>
        </w:rPr>
        <w:t xml:space="preserve">" </w:t>
      </w:r>
      <w:r>
        <w:rPr>
          <w:b/>
          <w:b/>
          <w:bCs/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 (</w:t>
      </w:r>
      <w:r>
        <w:rPr/>
        <w:t>2011</w:t>
      </w:r>
      <w:r>
        <w:rPr>
          <w:rtl w:val="true"/>
        </w:rPr>
        <w:t xml:space="preserve">),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155-189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המאמר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נבדקו</w:t>
      </w:r>
      <w:r>
        <w:rPr>
          <w:rFonts w:cs="Times New Roman"/>
          <w:rtl w:val="true"/>
        </w:rPr>
        <w:t xml:space="preserve"> </w:t>
      </w:r>
      <w:r>
        <w:rPr/>
        <w:t>171</w:t>
      </w:r>
      <w:r>
        <w:rPr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המחקר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2009</w:t>
      </w:r>
      <w:r>
        <w:rPr>
          <w:rtl w:val="true"/>
        </w:rPr>
        <w:t xml:space="preserve">.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175</w:t>
      </w:r>
      <w:r>
        <w:rPr>
          <w:rtl w:val="true"/>
        </w:rPr>
        <w:t xml:space="preserve">)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החוקרים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עמוד</w:t>
      </w:r>
      <w:r>
        <w:rPr>
          <w:rFonts w:cs="Times New Roman"/>
          <w:rtl w:val="true"/>
        </w:rPr>
        <w:t xml:space="preserve"> </w:t>
      </w:r>
      <w:r>
        <w:rPr/>
        <w:t>186</w:t>
      </w:r>
      <w:r>
        <w:rPr>
          <w:rtl w:val="true"/>
        </w:rPr>
        <w:t xml:space="preserve"> </w:t>
      </w:r>
      <w:r>
        <w:rPr>
          <w:rtl w:val="true"/>
        </w:rPr>
        <w:t>למאמר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הפריצה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הרגיל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לנפגע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בעמוד</w:t>
      </w:r>
      <w:r>
        <w:rPr>
          <w:rFonts w:cs="Times New Roman"/>
          <w:rtl w:val="true"/>
        </w:rPr>
        <w:t xml:space="preserve"> </w:t>
      </w:r>
      <w:r>
        <w:rPr/>
        <w:t>187</w:t>
      </w:r>
      <w:r>
        <w:rPr>
          <w:rtl w:val="true"/>
        </w:rPr>
        <w:t xml:space="preserve"> </w:t>
      </w:r>
      <w:r>
        <w:rPr>
          <w:rtl w:val="true"/>
        </w:rPr>
        <w:t>למאמר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  <w:tab/>
        <w:tab/>
        <w:tab/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)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כשלעבירה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406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408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36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נביא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מהשנה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4600/12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יאשייב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13.6.12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והכשלת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>
          <w:b/>
          <w:bCs/>
        </w:rPr>
      </w:pPr>
      <w:hyperlink r:id="rId15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8671/12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95</w:t>
      </w:r>
      <w:r>
        <w:rPr>
          <w:rtl w:val="true"/>
        </w:rPr>
        <w:t xml:space="preserve">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קודם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6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5326/12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7.8.12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הפריצה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וארגז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חריפה</w:t>
      </w:r>
      <w:r>
        <w:rPr>
          <w:rtl w:val="true"/>
        </w:rPr>
        <w:t xml:space="preserve">, </w:t>
      </w:r>
      <w:r>
        <w:rPr>
          <w:rtl w:val="true"/>
        </w:rPr>
        <w:t>סיגריות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שוקולד</w:t>
      </w:r>
      <w:r>
        <w:rPr>
          <w:rtl w:val="true"/>
        </w:rPr>
        <w:t xml:space="preserve">.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התפרץ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וחפצים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חרזאללה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6285/12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29.8.12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.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1080" w:end="0"/>
        <w:jc w:val="both"/>
        <w:rPr/>
      </w:pP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6092/12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ורסאנו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)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6.12.12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שהתפרץ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tl w:val="true"/>
        </w:rPr>
        <w:t xml:space="preserve">, </w:t>
      </w:r>
      <w:r>
        <w:rPr>
          <w:rtl w:val="true"/>
        </w:rPr>
        <w:t>שעונים</w:t>
      </w:r>
      <w:r>
        <w:rPr>
          <w:rtl w:val="true"/>
        </w:rPr>
        <w:t xml:space="preserve">,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מזומן</w:t>
      </w:r>
      <w:r>
        <w:rPr>
          <w:rtl w:val="true"/>
        </w:rPr>
        <w:t xml:space="preserve">, </w:t>
      </w:r>
      <w:r>
        <w:rPr>
          <w:rtl w:val="true"/>
        </w:rPr>
        <w:t>דרכונים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Heading1"/>
        <w:ind w:hanging="0" w:start="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הנזק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שנגרם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מביצוע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העבירה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7453/08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אואזנה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]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31.12.08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טומנת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גרידא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", </w:t>
      </w:r>
      <w:r>
        <w:rPr>
          <w:rtl w:val="true"/>
        </w:rPr>
        <w:t>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וקונוטציה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לסובבים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שהתבצעו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באמירה</w:t>
      </w:r>
      <w:r>
        <w:rPr>
          <w:rtl w:val="true"/>
        </w:rPr>
        <w:t>: "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מבצרו</w:t>
      </w:r>
      <w:r>
        <w:rPr>
          <w:rtl w:val="true"/>
        </w:rPr>
        <w:t xml:space="preserve">".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נפרץ</w:t>
      </w:r>
      <w:r>
        <w:rPr>
          <w:rtl w:val="true"/>
        </w:rPr>
        <w:t xml:space="preserve">,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</w:t>
      </w:r>
      <w:r>
        <w:rPr>
          <w:rtl w:val="true"/>
        </w:rPr>
        <w:t xml:space="preserve">.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לחומרה</w:t>
      </w:r>
      <w:r>
        <w:rPr>
          <w:rtl w:val="true"/>
        </w:rPr>
        <w:t xml:space="preserve">: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בכניסת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בידיעתם</w:t>
      </w:r>
      <w:r>
        <w:rPr>
          <w:rtl w:val="true"/>
        </w:rPr>
        <w:t xml:space="preserve">;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44623-02-10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;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44623.02.10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5.12.10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BodyText2"/>
        <w:ind w:end="0"/>
        <w:jc w:val="both"/>
        <w:rPr>
          <w:rFonts w:cs="David"/>
          <w:b w:val="false"/>
          <w:bCs w:val="false"/>
        </w:rPr>
      </w:pPr>
      <w:r>
        <w:rPr>
          <w:rFonts w:cs="David"/>
          <w:b w:val="false"/>
          <w:bCs w:val="fals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3.12.12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tl w:val="true"/>
        </w:rPr>
        <w:t>.</w:t>
      </w:r>
      <w:bookmarkStart w:id="15" w:name="_GoBack"/>
      <w:bookmarkEnd w:id="1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₪.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1.10.13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3"/>
      <w:footerReference w:type="default" r:id="rId2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13842-12-12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ידי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קקזנוב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2">
    <w:name w:val=" Char Char2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CharChar1">
    <w:name w:val=" Char Char1"/>
    <w:qFormat/>
    <w:rPr>
      <w:sz w:val="24"/>
      <w:szCs w:val="24"/>
      <w:lang w:val="en-US" w:bidi="he-IL"/>
    </w:rPr>
  </w:style>
  <w:style w:type="character" w:styleId="CharChar">
    <w:name w:val=" Char Char"/>
    <w:qFormat/>
    <w:rPr>
      <w:b/>
      <w:bCs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  <w:jc w:val="both"/>
    </w:pPr>
    <w:rPr>
      <w:rFonts w:cs="Times New Roman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BodyText2">
    <w:name w:val="Body Text 2"/>
    <w:basedOn w:val="Normal"/>
    <w:qFormat/>
    <w:pPr>
      <w:spacing w:lineRule="auto" w:line="360"/>
      <w:ind w:hanging="0" w:start="720" w:end="0"/>
      <w:jc w:val="both"/>
    </w:pPr>
    <w:rPr>
      <w:rFonts w:cs="Times New Roman"/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75" TargetMode="External"/><Relationship Id="rId4" Type="http://schemas.openxmlformats.org/officeDocument/2006/relationships/hyperlink" Target="http://www.nevo.co.il/law/70301/406.b" TargetMode="External"/><Relationship Id="rId5" Type="http://schemas.openxmlformats.org/officeDocument/2006/relationships/hyperlink" Target="http://www.nevo.co.il/law/70301/406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75" TargetMode="External"/><Relationship Id="rId8" Type="http://schemas.openxmlformats.org/officeDocument/2006/relationships/hyperlink" Target="http://www.nevo.co.il/case/5021728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safrut/book/19495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case/5587746" TargetMode="External"/><Relationship Id="rId15" Type="http://schemas.openxmlformats.org/officeDocument/2006/relationships/hyperlink" Target="http://www.nevo.co.il/case/5608570" TargetMode="External"/><Relationship Id="rId16" Type="http://schemas.openxmlformats.org/officeDocument/2006/relationships/hyperlink" Target="http://www.nevo.co.il/case/5590072" TargetMode="External"/><Relationship Id="rId17" Type="http://schemas.openxmlformats.org/officeDocument/2006/relationships/hyperlink" Target="http://www.nevo.co.il/case/5571888" TargetMode="External"/><Relationship Id="rId18" Type="http://schemas.openxmlformats.org/officeDocument/2006/relationships/hyperlink" Target="http://www.nevo.co.il/case/5594185" TargetMode="External"/><Relationship Id="rId19" Type="http://schemas.openxmlformats.org/officeDocument/2006/relationships/hyperlink" Target="http://www.nevo.co.il/case/5592328" TargetMode="External"/><Relationship Id="rId20" Type="http://schemas.openxmlformats.org/officeDocument/2006/relationships/hyperlink" Target="http://www.nevo.co.il/case/5701236" TargetMode="External"/><Relationship Id="rId21" Type="http://schemas.openxmlformats.org/officeDocument/2006/relationships/hyperlink" Target="http://www.nevo.co.il/case/5021728" TargetMode="External"/><Relationship Id="rId22" Type="http://schemas.openxmlformats.org/officeDocument/2006/relationships/hyperlink" Target="http://www.nevo.co.il/case/5021728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2016-02-23T09:29:00Z</dcterms:created>
  <dc:creator> </dc:creator>
  <dc:description/>
  <cp:keywords/>
  <dc:language>en-IL</dc:language>
  <cp:lastModifiedBy>hofit</cp:lastModifiedBy>
  <dcterms:modified xsi:type="dcterms:W3CDTF">2016-02-23T09:29:00Z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על - ידי</vt:lpwstr>
  </property>
  <property fmtid="{D5CDD505-2E9C-101B-9397-08002B2CF9AE}" pid="3" name="APPELLEE">
    <vt:lpwstr>משה קקזנוב</vt:lpwstr>
  </property>
  <property fmtid="{D5CDD505-2E9C-101B-9397-08002B2CF9AE}" pid="4" name="BOOKLISTTMP">
    <vt:lpwstr>19495</vt:lpwstr>
  </property>
  <property fmtid="{D5CDD505-2E9C-101B-9397-08002B2CF9AE}" pid="5" name="CASESLISTTMP1">
    <vt:lpwstr>5021728:2;5587746;5608570;5590072;5571888;5594185;5592328;5701236</vt:lpwstr>
  </property>
  <property fmtid="{D5CDD505-2E9C-101B-9397-08002B2CF9AE}" pid="6" name="CITY">
    <vt:lpwstr>רמ'</vt:lpwstr>
  </property>
  <property fmtid="{D5CDD505-2E9C-101B-9397-08002B2CF9AE}" pid="7" name="DATE">
    <vt:lpwstr>20130613</vt:lpwstr>
  </property>
  <property fmtid="{D5CDD505-2E9C-101B-9397-08002B2CF9AE}" pid="8" name="ISABSTRACT">
    <vt:lpwstr>Y</vt:lpwstr>
  </property>
  <property fmtid="{D5CDD505-2E9C-101B-9397-08002B2CF9AE}" pid="9" name="JUDGE">
    <vt:lpwstr>הישאם אבו שחאדה</vt:lpwstr>
  </property>
  <property fmtid="{D5CDD505-2E9C-101B-9397-08002B2CF9AE}" pid="10" name="LAWLISTTMP1">
    <vt:lpwstr>70301/406.b;275</vt:lpwstr>
  </property>
  <property fmtid="{D5CDD505-2E9C-101B-9397-08002B2CF9AE}" pid="11" name="LAWYER">
    <vt:lpwstr>אביטל פורטנוי;הילה עקרבי</vt:lpwstr>
  </property>
  <property fmtid="{D5CDD505-2E9C-101B-9397-08002B2CF9AE}" pid="12" name="NEWPARTA">
    <vt:lpwstr>13842</vt:lpwstr>
  </property>
  <property fmtid="{D5CDD505-2E9C-101B-9397-08002B2CF9AE}" pid="13" name="NEWPARTB">
    <vt:lpwstr>12</vt:lpwstr>
  </property>
  <property fmtid="{D5CDD505-2E9C-101B-9397-08002B2CF9AE}" pid="14" name="NEWPARTC">
    <vt:lpwstr>12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380020130613</vt:lpwstr>
  </property>
  <property fmtid="{D5CDD505-2E9C-101B-9397-08002B2CF9AE}" pid="19" name="TYPE_N_DATE">
    <vt:lpwstr>38020130613</vt:lpwstr>
  </property>
  <property fmtid="{D5CDD505-2E9C-101B-9397-08002B2CF9AE}" pid="20" name="WORDNUMPAGES">
    <vt:lpwstr>8</vt:lpwstr>
  </property>
</Properties>
</file>