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5"/>
        <w:gridCol w:w="367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13870-09-13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חמו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02.03.2014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3908"/>
        <w:gridCol w:w="3580"/>
      </w:tblGrid>
      <w:tr>
        <w:trPr>
          <w:trHeight w:val="29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_GoBack"/>
            <w:bookmarkEnd w:id="1"/>
            <w:r>
              <w:rPr>
                <w:rtl w:val="true"/>
              </w:rPr>
              <w:tab/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488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יהודית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אמסטרדם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390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</w:p>
        </w:tc>
        <w:tc>
          <w:tcPr>
            <w:tcW w:w="35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90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580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48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90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טורס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איצקוביץ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חושן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נוי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נודל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4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קריטי</w:t>
            </w:r>
          </w:p>
        </w:tc>
        <w:tc>
          <w:tcPr>
            <w:tcW w:w="358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90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580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6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נאשמים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1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,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2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 </w:t>
            </w:r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ו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>-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4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פתח דבר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הורשעו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עבירות של קשירת קשר לביצוע פשע והחזקת נשק שלא כדין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ותחמושת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עבירה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ושתי עבירות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tabs>
          <w:tab w:val="clear" w:pos="720"/>
          <w:tab w:val="left" w:pos="8025" w:leader="none"/>
        </w:tabs>
        <w:spacing w:lineRule="auto" w:line="360"/>
        <w:ind w:start="1440" w:end="0"/>
        <w:jc w:val="both"/>
        <w:rPr>
          <w:rFonts w:ascii="Arial" w:hAnsi="Arial" w:cs="Arial"/>
        </w:rPr>
      </w:pPr>
      <w:bookmarkStart w:id="8" w:name="ABSTRACT_END"/>
      <w:bookmarkEnd w:id="8"/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הודאתו גם בביצוע עבירות של החזקת נכס החשוד כגנוב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פריטים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והפרת הוראה חוקית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עבירות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15">
        <w:r>
          <w:rPr>
            <w:rStyle w:val="Hyperlink"/>
            <w:rFonts w:cs="Arial" w:ascii="Arial" w:hAnsi="Arial"/>
            <w:color w:val="0000FF"/>
            <w:u w:val="single"/>
          </w:rPr>
          <w:t>287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הודאתו בביצוע עבירות של החזקת נשק שלא כדין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בצוותא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החזקת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מחסנית ותחמושת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שלא כדין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בצוותא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וקשירת קשר לביצוע פשע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עבירות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ביחד עם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9"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הנטען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28.04.13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נגנב מדירתו של אלימלך פרנט ברח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אשכנזי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אביב אקדח חצי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אוטומטי מסוג </w:t>
      </w:r>
      <w:r>
        <w:rPr>
          <w:rFonts w:cs="Arial" w:ascii="Arial" w:hAnsi="Arial"/>
        </w:rPr>
        <w:t>CZ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7.65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סידורי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123312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הודה כי החזיק באקדח בין מועד גניבתו לבין תאריך </w:t>
      </w:r>
      <w:r>
        <w:rPr>
          <w:rFonts w:cs="Arial" w:ascii="Arial" w:hAnsi="Arial"/>
        </w:rPr>
        <w:t>19.08.2013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במועד שאינו ידוע למאשימה עובר לתאריך המצוין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קשר קשר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שיחזיק באקדח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הודה כי האקדח הגיע לידיו במועד כלשהו לפני </w:t>
      </w:r>
      <w:r>
        <w:rPr>
          <w:rFonts w:cs="Arial" w:ascii="Arial" w:hAnsi="Arial"/>
        </w:rPr>
        <w:t>19.08.13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החזיק בו בסמוך לבית הוריו ברח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חיים בר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לב </w:t>
      </w:r>
      <w:r>
        <w:rPr>
          <w:rFonts w:cs="Arial" w:ascii="Arial" w:hAnsi="Arial"/>
        </w:rPr>
        <w:t>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בית ההורים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19.08.13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וקבע עמו כי יגיע לבית ההורים עם אדם נוסף כדי לקבל ממנו את האקדח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בעקבות השיחה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גבי קטנוע בו נהג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לבית ההורים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ירד מהקטנוע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והודיע לו כי הוא ממתין לו מחוץ לדלת הבית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מפתח בית הוריו לרח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חיים בר 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הלך מספר מטרים וטיפס על חומה הנמצאת בסמוך לבית ההורים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ניגש לחומה כשהוא אוחז קסדה בידיו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הניח בקסדה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האקדח עם מחסנית ובה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7.65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כשהם עטופים בגרב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כשהוא אוחז באקדח ובתחמושת שב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לקטנוע עליו ישב והמתין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שוטרים שארבו במקום הורו לנאשמים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בציינם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עצור משטרה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שעה להוראות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וביחד עם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נמלט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נפלו האקדח והתחמושת מקסדתו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הכביש בסמוך לבית הוריו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נהג במהירות ובפרעות כשהוא מאלץ שוטר לסטות ממסלול נסיעתו פן ייפגע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ועשה כן כשנאשם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יושב על הקטנוע מאחור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אף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בתאריך </w:t>
      </w:r>
      <w:r>
        <w:rPr>
          <w:rFonts w:cs="Arial" w:ascii="Arial" w:hAnsi="Arial"/>
        </w:rPr>
        <w:t>19.08.13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22:05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יצא מפתח בית הוריו כמפורט בסעיף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בניגוד להוראת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השופטת נועה פראג בתיק מעצרים </w:t>
      </w:r>
      <w:hyperlink r:id="rId21">
        <w:r>
          <w:rPr>
            <w:rStyle w:val="Hyperlink"/>
            <w:rFonts w:ascii="Arial" w:hAnsi="Arial" w:cs="Arial"/>
            <w:rtl w:val="true"/>
          </w:rPr>
          <w:t>מ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ת </w:t>
        </w:r>
        <w:r>
          <w:rPr>
            <w:rStyle w:val="Hyperlink"/>
            <w:rFonts w:cs="Arial" w:ascii="Arial" w:hAnsi="Arial"/>
          </w:rPr>
          <w:t>6708-08-13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לפיה היה עליו להימצא במעצר בית בבית הוריו במשך כל שעות היממה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אף הודה כי הוא החזיק בבית הוריו תיק ובו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מצלמות דיגיטליות של 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קנון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עם כרטיס זיכרון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מצלמות דיגיטליות של 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פוג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יקום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כששתיים עם כרטיס זיכרון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מצלמה דיגיטלית של 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פנסוניק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של חברת 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hp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ושל 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סמסונג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כולן עם כרטיס זיכרון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שלושה מבזקי אור מדגמים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ניקון</w:t>
      </w:r>
      <w:r>
        <w:rPr>
          <w:rFonts w:cs="Arial" w:ascii="Arial" w:hAnsi="Arial"/>
          <w:rtl w:val="true"/>
        </w:rPr>
        <w:t>" "</w:t>
      </w:r>
      <w:r>
        <w:rPr>
          <w:rFonts w:ascii="Arial" w:hAnsi="Arial" w:cs="Arial"/>
          <w:rtl w:val="true"/>
        </w:rPr>
        <w:t>קנון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מטס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עברם הפלילי של הנאשמים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 פלילי מכביד הכולל עבירות של אלימות ורכוש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בגין עבירות של 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 והתחזות לאחר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הנאשם בשנת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למאסר לתקופה בת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ותשלום פיצוי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נדון למאסר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 בגין עבירה של איומים והפרעה לשוטר במילוי תפקידו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נדון למאסר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 בגין החזקת שטרי כסף מזויפים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ובמרץ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נדון למאסר לתקופה בת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ותשלום פיצוי למתלונן בסך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בגין עבירה של סחיטה בכוח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ביולי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נדון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למאסר 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בגין תקיפה הגורמת חבלה של ממש וכן פיצוי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המאסר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כולל הפעלת שני מאסרים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בדצמבר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נדון לחודשיים מאסר ולמאסר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בגין עבירת איומים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רישום פלילי ללא הרשעה בעת היותו נער בביצוע עבירה של הצתה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בדצמבר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נדון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למאסר לתקופה בת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בגין ביצוע עבירות של 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סחיטה באיומים ותקיפה בנסיבות מחמירות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רישום ללא הרשעה בגין החזקת סכין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והוטלה עליו חתימה על התחייבות כספית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הגיע להסדר טיעון עם הנאשמים ובאי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כוחם לאחר הליך ממושך של גישור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תוקן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ונמחקה הטענה לפיה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תקף את קצין המשטרה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ואל אפללו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ועבירת התקיפה הומרה לעבירה של הפרעה לשוטר במילוי תפקידו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הגיעו להסכמה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הם עתרו במשותף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להטיל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מאסר לתקופה בת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ושבועיים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וקנס בסך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 חצי שנת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עתרו הצדדים במשותף להטיל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ותשלום קנס בסך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 ארבעה חודשי מאסר תמורתו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לגבי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להטלת עונש מאסר של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ושבועיים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 חודש מאסר תמורתו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לכבד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בהדגישו כי הסדר הטיעון הוא פרי הליך של גישור 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 הגיעו להסכמה לפיה תוטל ענישה בהתאם לעברו הפלילי של כל נאשם ונאשם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וחלקו בביצוע 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אליבא דתביעה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הראוי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מתחם העבירה הוא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עתר לענישתו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במדרג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בעברו שבע הרשעות קודמות ועיקרן 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סיים לרצות עונש מאסר בן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רק חודשיים לפני האירוע נשוא התיק דנן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הורשע בביצוע עבירות נוספות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הפרת הוראה חוקית והחזקת נכס החשוד כגנוב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הוסיף וציין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 פלילי מכביד פחות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ריצה עונש מאסר בן תשעה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נמלט מזירת העבירה בתיק דנן לאחר שהשוטרים הורו לו לעצור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הפריע להם במילוי תפקידם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נכח כלל בעת האירוע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החזיק את האקדח לפני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והענישה המתבקשת בעניינו הינה במדרג הנמוך ביותר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עתרו אף הם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לכבד את הסדר הטיעון בציינם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הנאשמים הודו וחסכו מזמנו של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וייתרו הזמנת העדים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בהודאתם יש מעין הבעת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הביעו הסכמה לשלם קנסות בסכומים גבוהים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בעניינו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אף היה כשל ראייתי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ובסופו של יום הוא נטל אחריות למעשיו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לא ביקשו להוסיף דבר על דברי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עסקינן בעבירות חמורות של קשירת קשר לביצוע פשע והחזקת נשק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ביצע עבירות של הפרת הוראה חוקית והחזקת נכס החשוד כגנוב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המציאות היומיומית בה אנו חיים וזמינותם של כלי נשק חמים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מחייבת את בתי המשפט הדנים </w:t>
      </w:r>
      <w:r>
        <w:rPr>
          <w:rFonts w:ascii="Arial" w:hAnsi="Arial" w:cs="Arial"/>
          <w:rtl w:val="true"/>
        </w:rPr>
        <w:t>בתחום העבירות של החזקת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לנקוט ביד קשה עם מבצעיהן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נוכח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הסכנה לציבור הטמונה בביצוע עבירות אלה  וה</w:t>
      </w:r>
      <w:r>
        <w:rPr>
          <w:rFonts w:ascii="Arial" w:hAnsi="Arial" w:cs="Arial"/>
          <w:rtl w:val="true"/>
        </w:rPr>
        <w:t>חשש לשימוש ב</w:t>
      </w:r>
      <w:r>
        <w:rPr>
          <w:rFonts w:ascii="Arial" w:hAnsi="Arial" w:cs="Arial"/>
          <w:rtl w:val="true"/>
        </w:rPr>
        <w:t>נשק ל</w:t>
      </w:r>
      <w:r>
        <w:rPr>
          <w:rFonts w:ascii="Arial" w:hAnsi="Arial" w:cs="Arial"/>
          <w:rtl w:val="true"/>
        </w:rPr>
        <w:t>קטילת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כלשון פסק הדין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2160" w:end="0"/>
        <w:jc w:val="both"/>
        <w:rPr>
          <w:b/>
          <w:bCs/>
          <w:sz w:val="20"/>
        </w:rPr>
      </w:pPr>
      <w:r>
        <w:rPr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החשש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הוא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המוחזק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כדין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ישמש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לפעילות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עבריינית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העלולה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להביא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לפגיעה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ואף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לקיפוח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חייהם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אזרחים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תמימים</w:t>
      </w:r>
      <w:r>
        <w:rPr>
          <w:b/>
          <w:bCs/>
          <w:sz w:val="20"/>
          <w:rtl w:val="true"/>
        </w:rPr>
        <w:t xml:space="preserve">. </w:t>
      </w:r>
    </w:p>
    <w:p>
      <w:pPr>
        <w:pStyle w:val="Normal"/>
        <w:spacing w:lineRule="auto" w:line="360"/>
        <w:ind w:start="2160" w:end="0"/>
        <w:jc w:val="both"/>
        <w:rPr>
          <w:rFonts w:ascii="Arial" w:hAnsi="Arial" w:cs="Arial"/>
        </w:rPr>
      </w:pPr>
      <w:r>
        <w:rPr>
          <w:b/>
          <w:b/>
          <w:bCs/>
          <w:sz w:val="20"/>
          <w:sz w:val="20"/>
          <w:rtl w:val="true"/>
        </w:rPr>
        <w:t>אכן</w:t>
      </w:r>
      <w:r>
        <w:rPr>
          <w:b/>
          <w:bCs/>
          <w:sz w:val="20"/>
          <w:rtl w:val="true"/>
        </w:rPr>
        <w:t>, "</w:t>
      </w:r>
      <w:r>
        <w:rPr>
          <w:b/>
          <w:b/>
          <w:bCs/>
          <w:sz w:val="20"/>
          <w:sz w:val="20"/>
          <w:rtl w:val="true"/>
        </w:rPr>
        <w:t>התגלגלותם</w:t>
      </w:r>
      <w:r>
        <w:rPr>
          <w:b/>
          <w:bCs/>
          <w:sz w:val="20"/>
          <w:rtl w:val="true"/>
        </w:rPr>
        <w:t xml:space="preserve">"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כלי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מיד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ליד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פיקוח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עלול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להוביל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להגעתם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בדרך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דרך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לגורמים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פליליים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ועוי</w:t>
      </w:r>
      <w:r>
        <w:rPr>
          <w:b/>
          <w:b/>
          <w:bCs/>
          <w:sz w:val="20"/>
          <w:sz w:val="20"/>
          <w:rtl w:val="true"/>
        </w:rPr>
        <w:t>י</w:t>
      </w:r>
      <w:r>
        <w:rPr>
          <w:b/>
          <w:b/>
          <w:bCs/>
          <w:sz w:val="20"/>
          <w:sz w:val="20"/>
          <w:rtl w:val="true"/>
        </w:rPr>
        <w:t>נים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אין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לדעת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יעלה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בגורלם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כלי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ולאילו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תוצאות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הרסניות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יובילו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ודוק</w:t>
      </w:r>
      <w:r>
        <w:rPr>
          <w:b/>
          <w:bCs/>
          <w:sz w:val="20"/>
          <w:rtl w:val="true"/>
        </w:rPr>
        <w:t xml:space="preserve">: </w:t>
      </w:r>
      <w:r>
        <w:rPr>
          <w:b/>
          <w:b/>
          <w:bCs/>
          <w:sz w:val="20"/>
          <w:sz w:val="20"/>
          <w:rtl w:val="true"/>
        </w:rPr>
        <w:t>הסיכון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שנשקף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לשלום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הציבור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צריך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להילקח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בחשבון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b/>
          <w:bCs/>
          <w:sz w:val="20"/>
          <w:rtl w:val="true"/>
        </w:rPr>
        <w:t>-</w:t>
      </w:r>
      <w:r>
        <w:rPr>
          <w:b/>
          <w:b/>
          <w:bCs/>
          <w:sz w:val="20"/>
          <w:sz w:val="20"/>
          <w:rtl w:val="true"/>
        </w:rPr>
        <w:t>ידי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שמחזיק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בידו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כדין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גם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אינו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מחזיק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למטרת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ביצוען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אחרות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עצם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החזקת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פוטנציאל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קטילה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מבלי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עליו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בעליו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פיקוח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מוסדר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הרשויות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טומן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בחובו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סיכון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באשר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המחזיק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נתון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תמיד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לחשש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שיתפתה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לעשות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שימוש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ולו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ברגעי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לחץ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ופחד</w:t>
      </w:r>
      <w:r>
        <w:rPr>
          <w:sz w:val="20"/>
          <w:rtl w:val="true"/>
        </w:rPr>
        <w:t>"</w:t>
      </w:r>
      <w:r>
        <w:rPr>
          <w:sz w:val="20"/>
          <w:rtl w:val="true"/>
        </w:rPr>
        <w:t xml:space="preserve"> </w:t>
      </w:r>
      <w:r>
        <w:rPr>
          <w:sz w:val="20"/>
          <w:rtl w:val="true"/>
        </w:rPr>
        <w:t>[</w:t>
      </w:r>
      <w:r>
        <w:rPr>
          <w:sz w:val="20"/>
          <w:sz w:val="20"/>
          <w:rtl w:val="true"/>
        </w:rPr>
        <w:t>ראו</w:t>
      </w:r>
      <w:r>
        <w:rPr>
          <w:sz w:val="20"/>
          <w:rtl w:val="true"/>
        </w:rPr>
        <w:t xml:space="preserve">: </w:t>
      </w:r>
      <w:hyperlink r:id="rId22">
        <w:r>
          <w:rPr>
            <w:rStyle w:val="Hyperlink"/>
            <w:sz w:val="20"/>
            <w:sz w:val="20"/>
            <w:rtl w:val="true"/>
          </w:rPr>
          <w:t>ע</w:t>
        </w:r>
        <w:r>
          <w:rPr>
            <w:rStyle w:val="Hyperlink"/>
            <w:sz w:val="20"/>
            <w:rtl w:val="true"/>
          </w:rPr>
          <w:t>"</w:t>
        </w:r>
        <w:r>
          <w:rPr>
            <w:rStyle w:val="Hyperlink"/>
            <w:sz w:val="20"/>
            <w:sz w:val="20"/>
            <w:rtl w:val="true"/>
          </w:rPr>
          <w:t>פ</w:t>
        </w:r>
        <w:r>
          <w:rPr>
            <w:rStyle w:val="Hyperlink"/>
            <w:rFonts w:cs="Times New Roman"/>
            <w:sz w:val="20"/>
            <w:sz w:val="20"/>
            <w:rtl w:val="true"/>
          </w:rPr>
          <w:t xml:space="preserve"> </w:t>
        </w:r>
        <w:r>
          <w:rPr>
            <w:rStyle w:val="Hyperlink"/>
            <w:sz w:val="20"/>
          </w:rPr>
          <w:t>4945/13</w:t>
        </w:r>
      </w:hyperlink>
      <w:r>
        <w:rPr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מדינת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ישראל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</w:t>
      </w:r>
      <w:r>
        <w:rPr>
          <w:b/>
          <w:bCs/>
          <w:sz w:val="20"/>
          <w:rtl w:val="true"/>
        </w:rPr>
        <w:t xml:space="preserve">' </w:t>
      </w:r>
      <w:r>
        <w:rPr>
          <w:b/>
          <w:b/>
          <w:bCs/>
          <w:sz w:val="20"/>
          <w:sz w:val="20"/>
          <w:rtl w:val="true"/>
        </w:rPr>
        <w:t>סלימאן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פורסם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בנבו</w:t>
      </w:r>
      <w:r>
        <w:rPr>
          <w:sz w:val="20"/>
          <w:rtl w:val="true"/>
        </w:rPr>
        <w:t xml:space="preserve">, </w:t>
      </w:r>
      <w:r>
        <w:rPr>
          <w:sz w:val="20"/>
        </w:rPr>
        <w:t>19.1.2014</w:t>
      </w:r>
      <w:r>
        <w:rPr>
          <w:sz w:val="20"/>
          <w:rtl w:val="true"/>
        </w:rPr>
        <w:t>)]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חומרה נוספת לעבירות אותן ביצע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הוא לא ציית להוראת בית המשפט אשר חייבה אותו להימצא במעצר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הפר הוראה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ועשה כן לצורך ביצוע עבירה אחרת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באשר לנכסים החשודים כגנובים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בפרטי רכוש בעלי ערך בלתי מבוטל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עשר מצלמות דיגיטליות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כרטיסי זיכרון ומבזקי אור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הבניית שיקול הדעת השיפוטי בענישה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סימן א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שעניינו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הבניית שיקול הדעת השיפוטי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בענישה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אינו מתייחס מפורשות לענישה בתיק אליו הגיעו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להסדר טיעון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לאחרונה התייחס בית המשפט העליון לטווח הענישה המוסכם בין הצדדים לעומת מתחם הענישה הראוי כפי שבית המשפט רואה אותו לנגד עיניו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קבע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כידוע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התיקון אינו מתייחס לשאלת היחס בין מתחם העונש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שייקבע על ידי בית המשפט לבין טווח ענישה עליו הסכימו הצדדים במסגרת הסדר טיעון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נושא זה עתיד להיות מוסדר בחוק שיעסוק בהסדרי טיעון אשר בימים אלו מצוי בהליך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חקיקה – הצעת </w:t>
      </w:r>
      <w:hyperlink r:id="rId24">
        <w:r>
          <w:rPr>
            <w:rStyle w:val="Hyperlink"/>
            <w:rFonts w:ascii="Arial" w:hAnsi="Arial" w:cs="Arial"/>
            <w:b/>
            <w:b/>
            <w:bCs/>
            <w:rtl w:val="true"/>
          </w:rPr>
          <w:t>חוק סדר הדין הפלילי</w:t>
        </w:r>
      </w:hyperlink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תיקון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65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הסדר טיעון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התש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2010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... </w:t>
      </w:r>
    </w:p>
    <w:p>
      <w:pPr>
        <w:pStyle w:val="Normal"/>
        <w:spacing w:lineRule="auto" w:line="360"/>
        <w:ind w:start="216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בפסק דין שניתן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לאחרונה בבית משפט זה ב</w:t>
      </w:r>
      <w:hyperlink r:id="rId25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512/13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לאחר שניתן גזר דינו של בית המשפט קמא בהליך שבענייננו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נקבע כי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קיומו של הסדר טיעון המתייחס לעונשו של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אם קובע טווח ענישה ובין אם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עונש קונקרטי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אינו מבטל את תחולת ההוראות שנקבעו במסגרת התיקון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באותו עניין נקבע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כי אין בהסכמת הצדדים לעניין העונש הראוי כדי למנוע מבית המשפט לבחון את העונש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המוסכם על פי המבחנים הקבועים בחוק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תוך יישום הוראותיו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>..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עניינו של התיקון הוא בקביעת אמות מידה לגזירת עונשו של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נאשם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התיקון אינו מוציא במפורש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לעניין תחולת אמות מידה אלו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מצב בו ערכו הצדדים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הסדר טיעון לעניין העונש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סבורה כי אין בו לשנות מהמדיניות המשפטית שהייתה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נהוגה ערב כניסתו לתוקף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לפיה בית המשפט אינו כבול לעונש עליו הסכימו הצדדים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במסגרת הסדר טיעון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ועליו לבוחנו בהתאם לאמות המידה המקובלות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כאשר אליהן יתווספו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ואף יקבלו מקום מרכזי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השיקולים המתחייבים מקיומו של הסדר טיעון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.. </w:t>
      </w:r>
      <w:r>
        <w:rPr>
          <w:rFonts w:ascii="Arial" w:hAnsi="Arial" w:cs="Arial"/>
          <w:b/>
          <w:b/>
          <w:bCs/>
          <w:rtl w:val="true"/>
        </w:rPr>
        <w:t>על פי אמות מידה אלו יש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לבחון את הסדר הטיעון בין הצדדים לעניין העונש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זאת לצד הכלל המצמצם התערבות שלבית המשפט בהסדר כאמור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/>
        <w:ind w:firstLine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hyperlink r:id="rId2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3856/13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ascii="Arial" w:hAnsi="Arial" w:cs="Arial"/>
          <w:b/>
          <w:b/>
          <w:bCs/>
          <w:rtl w:val="true"/>
        </w:rPr>
        <w:t>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3.2.14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המקובץ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שהגעתי למסקנה שהסדר הטיעון אינו פוגע באינטרס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חסך זימון 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לכבד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ואני מטילה על הנאשמים 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על נאשם </w:t>
      </w:r>
      <w:r>
        <w:rPr>
          <w:rFonts w:cs="Arial" w:ascii="Arial" w:hAnsi="Arial"/>
          <w:u w:val="single"/>
        </w:rPr>
        <w:t>1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</w:t>
        <w:tab/>
      </w:r>
      <w:r>
        <w:rPr>
          <w:rFonts w:cs="Arial" w:ascii="Arial" w:hAnsi="Arial"/>
        </w:rPr>
        <w:t>29.5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החל מיום מעצרו בתאריך </w:t>
      </w:r>
      <w:r>
        <w:rPr>
          <w:rFonts w:cs="Arial" w:ascii="Arial" w:hAnsi="Arial"/>
        </w:rPr>
        <w:t>19.8.2013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שלא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מיום שחרורו ממאסר עבירה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9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)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שלא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 עבירה של הפרת הוראה חוקית או החזקת נכס החשוד כגנוב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תמורתו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החל מתאריך </w:t>
      </w:r>
      <w:r>
        <w:rPr>
          <w:rFonts w:cs="Arial" w:ascii="Arial" w:hAnsi="Arial"/>
        </w:rPr>
        <w:t>01.04.2014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על נאשם </w:t>
      </w:r>
      <w:r>
        <w:rPr>
          <w:rFonts w:cs="Arial" w:ascii="Arial" w:hAnsi="Arial"/>
          <w:u w:val="single"/>
        </w:rPr>
        <w:t>2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</w:t>
        <w:tab/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החל מיום מעצרו בתאריך </w:t>
      </w:r>
      <w:r>
        <w:rPr>
          <w:rFonts w:cs="Arial" w:ascii="Arial" w:hAnsi="Arial"/>
        </w:rPr>
        <w:t>28.8.13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שלא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 עבירה מהעבירות בהן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החל מתאריך </w:t>
      </w:r>
      <w:r>
        <w:rPr>
          <w:rFonts w:cs="Arial" w:ascii="Arial" w:hAnsi="Arial"/>
        </w:rPr>
        <w:t>01.04.2014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על נאשם </w:t>
      </w:r>
      <w:r>
        <w:rPr>
          <w:rFonts w:cs="Arial" w:ascii="Arial" w:hAnsi="Arial"/>
          <w:u w:val="single"/>
        </w:rPr>
        <w:t>4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</w:t>
        <w:tab/>
      </w:r>
      <w:r>
        <w:rPr>
          <w:rFonts w:cs="Arial" w:ascii="Arial" w:hAnsi="Arial"/>
        </w:rPr>
        <w:t>11.5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החל מיום מעצרו בתאריך </w:t>
      </w:r>
      <w:r>
        <w:rPr>
          <w:rFonts w:cs="Arial" w:ascii="Arial" w:hAnsi="Arial"/>
        </w:rPr>
        <w:t>17.09.13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</w:t>
        <w:tab/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שלא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 עבירה מהעבירות בהן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 חודש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הקנס ישולם עד לתאריך </w:t>
      </w:r>
      <w:r>
        <w:rPr>
          <w:rFonts w:cs="Arial" w:ascii="Arial" w:hAnsi="Arial"/>
        </w:rPr>
        <w:t>01.04.2014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הודע לנאשמים על זכותם לערער על 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הדין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/>
        <w:t>03</w:t>
      </w:r>
      <w:r>
        <w:rPr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בנוכחות </w:t>
      </w:r>
      <w:r>
        <w:rPr>
          <w:rFonts w:ascii="Arial" w:hAnsi="Arial" w:cs="Arial"/>
          <w:rtl w:val="true"/>
        </w:rPr>
        <w:t>הצדדים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end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end"/>
        <w:rPr>
          <w:b/>
          <w:bCs/>
        </w:rPr>
      </w:pPr>
      <w:r>
        <w:rPr>
          <w:b/>
          <w:bCs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end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02/03/2014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tbl>
      <w:tblPr>
        <w:tblpPr w:vertAnchor="text" w:horzAnchor="page" w:leftFromText="180" w:rightFromText="180" w:tblpX="2717" w:tblpY="277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end"/>
              <w:rPr/>
            </w:pPr>
            <w:r>
              <w:rPr>
                <w:rFonts w:cs="Times New Roman"/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tl w:val="true"/>
              </w:rPr>
              <w:t>אמסטרדם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end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אמסטרדם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13870-09-13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איתי חמו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87.a" TargetMode="External"/><Relationship Id="rId7" Type="http://schemas.openxmlformats.org/officeDocument/2006/relationships/hyperlink" Target="http://www.nevo.co.il/law/70301/413" TargetMode="External"/><Relationship Id="rId8" Type="http://schemas.openxmlformats.org/officeDocument/2006/relationships/hyperlink" Target="http://www.nevo.co.il/law/70301/499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13" TargetMode="External"/><Relationship Id="rId15" Type="http://schemas.openxmlformats.org/officeDocument/2006/relationships/hyperlink" Target="http://www.nevo.co.il/law/70301/287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inks/psika/?NEWPROC=&#1502;&#1514;&amp;NEWPARTA=6708&amp;NEWPARTB=08&amp;NEWPARTC=13" TargetMode="External"/><Relationship Id="rId22" Type="http://schemas.openxmlformats.org/officeDocument/2006/relationships/hyperlink" Target="http://www.nevo.co.il/links/psika/?link=&#1506;&#1508;%204945/13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links/psika/?link=&#1506;&#1508;%20512/13" TargetMode="External"/><Relationship Id="rId26" Type="http://schemas.openxmlformats.org/officeDocument/2006/relationships/hyperlink" Target="http://www.nevo.co.il/links/psika/?link=&#1506;&#1508;%203856/13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/499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2014-03-12T09:19:00Z</dcterms:created>
  <dc:creator> </dc:creator>
  <dc:description/>
  <cp:keywords/>
  <dc:language>en-IL</dc:language>
  <cp:lastModifiedBy>hofit</cp:lastModifiedBy>
  <dcterms:modified xsi:type="dcterms:W3CDTF">2014-03-12T09:19:00Z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איתי חמו;יוסי טורס;נוי יצחק;יוסי חמו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ת"א</vt:lpwstr>
  </property>
  <property fmtid="{D5CDD505-2E9C-101B-9397-08002B2CF9AE}" pid="9" name="DATE">
    <vt:lpwstr>20140302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יהודית אמסטרדם</vt:lpwstr>
  </property>
  <property fmtid="{D5CDD505-2E9C-101B-9397-08002B2CF9AE}" pid="13" name="LAWLISTTMP1">
    <vt:lpwstr>70301/499.a.1:3, 144.a:3, 413:2, 287.a:2, 029:2, 144:2, 499:2</vt:lpwstr>
  </property>
  <property fmtid="{D5CDD505-2E9C-101B-9397-08002B2CF9AE}" pid="14" name="LAWLISTTMP2">
    <vt:lpwstr>74903:2</vt:lpwstr>
  </property>
  <property fmtid="{D5CDD505-2E9C-101B-9397-08002B2CF9AE}" pid="15" name="LAWYER">
    <vt:lpwstr>גיא רוסו;יצחק איצקוביץ' אופירה אבן חושן שי נודל אלון קריטי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13870</vt:lpwstr>
  </property>
  <property fmtid="{D5CDD505-2E9C-101B-9397-08002B2CF9AE}" pid="22" name="NEWPARTB">
    <vt:lpwstr>09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390020140302</vt:lpwstr>
  </property>
  <property fmtid="{D5CDD505-2E9C-101B-9397-08002B2CF9AE}" pid="34" name="TYPE_N_DATE">
    <vt:lpwstr>39020140302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