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265"/>
        <w:gridCol w:w="297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850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1390-04-22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בן יאל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עצור בפיקוח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עזאם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מטאנס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39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 w:eastAsia="Calibri"/>
          <w:rtl w:val="true"/>
        </w:rPr>
        <w:t>הנאשם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 של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8">
        <w:r>
          <w:rPr>
            <w:rStyle w:val="Hyperlink"/>
            <w:rFonts w:ascii="David" w:hAnsi="David" w:eastAsia="Calibri"/>
            <w:rtl w:val="true"/>
          </w:rPr>
          <w:t>סעיפים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</w:t>
      </w:r>
      <w:r>
        <w:rPr>
          <w:rFonts w:eastAsia="Calibri" w:cs="David" w:ascii="David" w:hAnsi="David"/>
          <w:rtl w:val="true"/>
        </w:rPr>
        <w:t>+</w:t>
      </w:r>
      <w:r>
        <w:rPr>
          <w:rFonts w:ascii="David" w:hAnsi="David" w:eastAsia="Calibri"/>
          <w:rtl w:val="true"/>
        </w:rPr>
        <w:t xml:space="preserve">סיפא </w:t>
      </w:r>
      <w:r>
        <w:rPr>
          <w:rFonts w:eastAsia="Calibri" w:cs="David" w:ascii="David" w:hAnsi="David"/>
          <w:rtl w:val="true"/>
        </w:rPr>
        <w:t>+ (</w:t>
      </w:r>
      <w:hyperlink r:id="rId9">
        <w:r>
          <w:rPr>
            <w:rStyle w:val="Hyperlink"/>
            <w:rFonts w:ascii="David" w:hAnsi="David" w:eastAsia="Calibri"/>
            <w:rtl w:val="true"/>
          </w:rPr>
          <w:t>ב</w:t>
        </w:r>
      </w:hyperlink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רישא</w:t>
      </w:r>
      <w:r>
        <w:rPr>
          <w:rFonts w:eastAsia="Calibri" w:cs="David" w:ascii="David" w:hAnsi="David"/>
          <w:rtl w:val="true"/>
        </w:rPr>
        <w:t>+</w:t>
      </w:r>
      <w:r>
        <w:rPr>
          <w:rFonts w:ascii="David" w:hAnsi="David" w:eastAsia="Calibri"/>
          <w:rtl w:val="true"/>
        </w:rPr>
        <w:t>סיפא ל</w:t>
      </w:r>
      <w:hyperlink r:id="rId1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וירי מנשק 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סעיף </w:t>
      </w:r>
      <w:hyperlink r:id="rId11">
        <w:r>
          <w:rPr>
            <w:rStyle w:val="Hyperlink"/>
            <w:rFonts w:eastAsia="Calibri" w:cs="David" w:ascii="David" w:hAnsi="David"/>
          </w:rPr>
          <w:t>340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bookmarkStart w:id="10" w:name="ABSTRACT_END"/>
      <w:bookmarkEnd w:id="10"/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בעובדות כתב האישום נאמר כי בבעלות הנאשם רכב מסוג מרצדס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הנושא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ז </w:t>
      </w:r>
      <w:r>
        <w:rPr>
          <w:rFonts w:eastAsia="Calibri" w:cs="David" w:ascii="David" w:hAnsi="David"/>
        </w:rPr>
        <w:t>90-087-72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הרכב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אשר מאחורי משענת המושב האחורי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אמצעי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קיים תא נסתר הנגיש מהמושב האחורי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16.3.2022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23:40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 הנאשם ברכב מביתו באעבלין אל תחנת הדלק פז באעבלין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ומשם למגרש החניה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הר אחים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בכביש </w:t>
      </w:r>
      <w:r>
        <w:rPr>
          <w:rFonts w:eastAsia="Calibri" w:cs="David" w:ascii="David" w:hAnsi="David"/>
        </w:rPr>
        <w:t>7955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המגרש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כשהוא מחזיק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נושא ומוביל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אקדח מסוג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ושקית ניילון שחורה המכילה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שהינו כלי שסוגל לירות כדור ושבכוחו להמית אדם היה טעון במחסנית ובתוכה לפחות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תואמים נוספים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בהיותו במגרש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ירה הנאשם שלא כדין לפחות שישה כדורים באמצעות האקדח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מכן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החביא הנאשם בתא הנסתר ברכב את השקית והאקדח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דרוך ועם כדור בקנה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ולצדם רעלת פנים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במהלך האירוע המתואר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בנסיבות שאינן ידועות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נפצע הנאשם בירך ימין ונזקק לטיפול רפואי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נגרם נזק לרכב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הרשעת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נעתרתי לבקשת סנגורו והוריתי על הפנייתו לשירות המבחן לצורך עריכת תסקיר בעניינו בטרם שמיעת הטיעונים לעונש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גילו הצעיר והעובדה כי הוא שולב בהליך טיפולי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תסקיר שירות המבחן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6.2.2023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נאמר כי מדובר בצעיר בן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רווק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טרם מעצרו עבד בעסק לייצור תבניות בטון במשך כשנה וחצי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הלה בן למשפחה המונה זוג הורים גרושים ושלושה ילדים בגילאי </w:t>
      </w:r>
      <w:r>
        <w:rPr>
          <w:rFonts w:eastAsia="Calibri" w:cs="David" w:ascii="David" w:hAnsi="David"/>
        </w:rPr>
        <w:t>18-25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מנת לשמור על צנעת פרטיותו של הנאשם איני רואה מקום לסקור בהרחבה את נסיבותיו המשפחתיות והאישיות ואסתפק בציון העובדה כי הקשר שלו עם אמו נותק בהיותו בן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וכי עד לאותו שלב הוא חווה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אלימות קשה מצדה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הנאשם נשר ממסגרת החינוך בגיל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ושולב בבי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 לקידום נוער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שם סיים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לימוד עם תעודת בגרות חלקית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רקע מצוקה כלכלית עמה התמודדה 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השתלב בשוק העבודה כפועל מגיל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במהלך האבחון שנערך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הציג הנאשם חוות דעת מיום </w:t>
      </w:r>
      <w:r>
        <w:rPr>
          <w:rFonts w:eastAsia="Calibri" w:cs="David" w:ascii="David" w:hAnsi="David"/>
        </w:rPr>
        <w:t>5.2.2023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מפסיכותרפיסטית אצלה הוא מטופל באופן פרטי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ממנה עולה כי הלה פנה לטיפול פסיכולוגי באופן יזום ביום </w:t>
      </w:r>
      <w:r>
        <w:rPr>
          <w:rFonts w:eastAsia="Calibri" w:cs="David" w:ascii="David" w:hAnsi="David"/>
        </w:rPr>
        <w:t>31.10.2022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על רקע הסתבכותו בעבירות מושא הדיון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בחוות הדעת נאמר כי הנאשם שיתף בחוויית נחיתות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אשמה ודחייה על רקע תנאי גדילתו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ברקע לעבירות בהן הורשע עמדה חוויות נטישה מצד ארוסתו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עמה היה בקשר זוגי משך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בני הזוג נפרדו עקב קשיים שהתעוררו ביחסיו עם משפחת ארוסתו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הפרוגנוזה השיקומית הטובה שעלתה בטיפול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שהתבטאה במוטיבציה לשינוי ובתכנים אותם העלה הנאשם בשיח הטיפולי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המליצה המטפלת על טיפול ארוך טווח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שירות המבחן ציין כי מעיון בגיליון רישומו הפלילי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עולה כי לחובתו של הנאשם הרשעה אחת משנת </w:t>
      </w:r>
      <w:r>
        <w:rPr>
          <w:rFonts w:eastAsia="Calibri" w:cs="David" w:ascii="David" w:hAnsi="David"/>
        </w:rPr>
        <w:t>2019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בעבירה של החזקת 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בגינה הוטל עליו מאסר מותנה וקנס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התייחס בצורה מצמצמת והשלכתית להרשעה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שטען כי מצא את התחמושת בחצר ביתו והחביאה אצלו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בהתייחסותו לעבירות מושא הדיון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הודה הנאשם בביצוען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נקט בגישה מצמצמת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קורבנית וחשדנית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ששלל קיומם של קשרים שוליים והתקשה לבחון בעין ביקורתית את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בחירותיו וקשריו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ימים ספורים עובר לאירוע מושא הדיון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התקשר אליו חבר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 היכרות שטחית עמו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להשאיר אצלו נשק השייך 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לטענתו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בעקבות המשבר בו היה נתון אותה תקופה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ירה בנשק מתוך רצון לשחרר את רגשותיו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וירה ברגלו מתוך אכזבה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שלל הנאשם מחשבות אובדניות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4.5.2022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שוחרר הנאשם למעצר בית בפיקוח אלקטרוני ובמהלך תקופה זו הוא שולב בקבוצה לעצורי בית החל מיום </w:t>
      </w:r>
      <w:r>
        <w:rPr>
          <w:rFonts w:eastAsia="Calibri" w:cs="David" w:ascii="David" w:hAnsi="David"/>
        </w:rPr>
        <w:t>29.6.2022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דווח כי הנאשם הגיע לכל המפגשים ללא היעדרויות או איחורים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במסגרתם שיתף בקשיים הנובעים משהייה ממושכת במעצר בפיקוח אלקטרוני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התקשה לזהות גורמי סיכון שהובילו למעצרו ונותרו סימני שאלה סביב קשריו החברתיים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התרשם שירות המבחן כי לאחרונה חלה תזוזה ביכולת השיתוף של הנאשם בכל הקשור לנסיבות ביצוע העבירות על 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כשלדבריו הטיפול הפסיכולוגי הפרטני מסייע לו לבטא את קשייו ורגשותיו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בבואו להעריך את הסיכון לעבריינות בעתיד מצדו של הנאשם אל מול סיכויי שיקומו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שירות המבחן כי התרשם מצעיר שגדל בצל חוויית נטישה ואלימות מצד אמו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נותרה בלתי מעובדת ופגעה ביכולתו לגבש זהות גברית עצמית נפרדת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ולפתח קשרים מיטיבים ובריאים עם הזולת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להתחבר לרגשותיו ולהכיר בהם ולבנות אמון עם גורמי סמכות וטיפול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צוין כי בעקבות חוויית הדחייה החברתית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נטה הנאשם ליצור קשרים חברתיים שוליים כדרך להחזיר לעצמו את השליטה ולהרגיש קבלה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כוח ומסוגלות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להתרשמות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מתקשה לבטא את עצמו באופן כן ופתוח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לשתף בבחירותיו ולגלות חיבור לפוגענות המאפיינת את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העריך שירות המבחן כי רב הנסתר על הגלוי באשר לנסיבות ביצוע העבירות וקשריו החברתיים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וניכר כי הסתבכותו הקודמת בפלילים והעונש שנגזר עליו לא היוו עבורו גורם מרתיע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העריך שירות המבחן כי קיים סיכון משמעותי להתנהגות עוברת חוק בעתיד מצדו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לאור ניסיונו של הנאשם להיעזר בגורמי טיפול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נאמר כי קיימת חשיבות לאפשר לו להמשיך בטיפול בו החל ולבדוק את מידת יכולתו להיתרם ממנו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שירות המבחן לדחות את הטיעונים לעונש בשלושה 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במהלכם תיבחן הירתמותו של הנאשם להליך הטיפולי והאפשרות לשלבו בקבוצה טיפולית ייעודית בתחום עבירות הנשק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לאור מדיניות הענישה הנוהגת בעבירות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הטלת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ונוכח עברו הפלילי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מצאתי מקום להיעתר לבקשת שירות המבחן לדחיית הדיון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וזו נדחתה בהחלטתי מיום </w:t>
      </w:r>
      <w:r>
        <w:rPr>
          <w:rFonts w:eastAsia="Calibri" w:cs="David" w:ascii="David" w:hAnsi="David"/>
        </w:rPr>
        <w:t>6.3.2023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באותה החלטה קבעתי כי ככל שיבקש הנאשם להמשיך בהליכי השיקום בהם החל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יוכל לעשות זאת בין כותלי בית הכלא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ככל שיוטל עליו עונש מאסר מאחורי סורג ובריח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במסגרת ראיותיה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הגישה המאשימה את תדפיסי המידע הפלילי והתעבורתי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רישומו התעבורתי כולל שלוש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כשהאחרונה שבהן מיום </w:t>
      </w:r>
      <w:r>
        <w:rPr>
          <w:rFonts w:eastAsia="Calibri" w:cs="David" w:ascii="David" w:hAnsi="David"/>
        </w:rPr>
        <w:t>8.9.2022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בגין נהיגה תחת השפעת סמים ומשקאות משכרים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בגינה נפסל רישיונו והוטלו עליו מאסר מותנה וקנס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מרישומו הפלילי עולה כי לחובתו של הנאשם הרשעה אחת בעבירה של רכישת או החזקת חלק של נשק או 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בגינה הוטל עליו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מאסר מותנה בן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שהינו בר הפעלה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הוגשו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הכרעת הדין וגזר הדין שניתנו על ידי בית משפט השלום בעכו ב</w:t>
      </w:r>
      <w:hyperlink r:id="rId1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56999-06-20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מושא הרשעה זו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מטעם ההגנה העידה דודתו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סיהאם חדאד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שדבריה לא יפורטו בהרחבה מפאת צנעת פרטיותו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בקליפת אגוז ייאמר כי עדה זו סיפרה שהיא התגוררה באותו הבית יחד עם הנאשם עד הגיעו לגיל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והייתה עדה לאלימות קשה שהופנתה כלפיו מצד אמו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בעקבות אלימות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מצבו הנפשי של הנאשם היה מורכב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הישגיו הלימודיים התדרדרו והוא הופנה על ידי בני משפחתו לטיפול פסיכולוגי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ציינה המאשימה כי בשנים האחרונות חווה החברה גל של אלימות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המערב שימוש בנשק חם חדשות לבקרים וגובה מחירים כבדים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נטען כי אלמלא התופעה של החזקה בלתי חוקית של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היו מבוצעות באמצעותו עבירות אלימות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לצורך מיגור תופעה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להטיל עונשים מרתיעים על מבצעי 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הפוגעים במעשיהם באופן משמעותי בשלום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ביטחונו ושלמות 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ובשמירה על הסדר הציבורי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המאשימה לתכנון שקדם להן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הנלמד מהעובדה כי בקנה האקדח אותו נשא הנאשם היה כדור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עובדה זו מלמדת על הכנה מוקדמת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זמינות ומוכנות לשימוש בנשק באופן מיידי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רמת הסיכון שנשקפה מהמעשה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זו בלבד שהנאשם נשא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שהוא אף ביצע ירי באמצעותו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אמנם לא נגרם נזק פיזי מהמעשים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פוטנציאל הנזק הגלום בהם הוא גבוה ביותר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 כלי הנשק והקלות בה ניתן להשיגם ולבצע בהם שימוש לפתרון סכסוכים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מהסיבות המרכזיות לעלייה המשמעותית במספר אירועי האלימות בתקופה האחרונה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הפנתה המאשימה לעובדה כי לצד הנשק נתפסה גם רעלת פנים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שהצביעה על פסיקה המשקפת לשיטתה את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המאשימה לקבוע מתחם עונש הולם הנע 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חומרת העבירות ועברו הפלילי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סבורה המאשימה כי בענייננו יש לבכר את שיקולי ההרתעה והגמול על פני שיקולי שיקומו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בהתחשב באמור בתסקיר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לפיו הלה לוקח אחריות מילולית בלבד על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נוקט בגישה מצמצמת וקורבנית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מתקשה ליצור גבולות פנימיים ואינו חווה הרתעה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לצד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ונוכח הודאת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למקם את עונשו ברף האמצעי של המתחם לו טענה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ולהפעיל את המאסר המותנה בן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התלוי ועומד נגדו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במצטבר לכל עונש מאסר שייגזר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להשית על הנאשם מאסר מותנה וקנס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ולהורות על חילוט רכב המרצדס אשר שימש אותו בביצוע העבירות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בפתח טיעוניו ציין הסנגור כי אינו חולק על חומרת מעשיו של הנאשם ועל קיומה של מגמת החמרה בענישה בגין 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התבקש בית המשפט ליתן משקל רב יותר לנסיבות חייו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שפורטו בתסקיר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הקשר הישיר שלהן להתנהלותו עוברת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נטען כי במעשיו ניסה הנאשם לברוח מהמציאות בה הוא חי בכל מחיר ולכן הביא למעצרו במו ידיו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ביקש הסנגור להביא בחשבון את הודאת מרשו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המבטאת חרטה אמתית וכנה מצדו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ואשר הביאה לחיסכון בזמן שיפוטי יקר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שהפנה לפסיקה הדנה במקרים דומים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 הסנגור לקבוע כי מתחם העונש ההולם נע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בשים לב לנסיבותיו האישיות של הנאשם והירתמותו לטיפול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לגזור את עונשו בתחתית המתחם לו עתר ולהפעיל את המאסר המותנה התלוי ועומד נגדו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באופן חופף לעונש שיוטל עליו בגין תיק זה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סיפר הנאשם כי בילדותו הוא עבר אלימות במשפחה והוכה קשות וכי מעולם לא היה לו למי לפנות ולשתף במה עובר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שיתף הנאשם על אודות יחסיו המורכבים עם ארוסתו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שציין כי הוא מודע לפסול שבמעשיו ומצר עליהם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לקבוע את מתחם העונש ההולם על בית המשפט להתחשב בערכים החברתיים שנפגעו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ובנסיבות הקשורות בביצוע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קביעתו של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המגלם הכרעה ערכית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נעשית בהתאם לעיקרון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 קיומו של יחס הולם בין חומרת מעשה העבירה ומידת אשמו של הנאשם לבין העונש המוטל עליו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בית המשפט עמד באינספור הזדמנויות על החומרה היתרה הטמונה בעבירות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משום שמדובר בעבירות העשויות לשמש בסיס לביצוען של עבירות נוספות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וככאלה מקימות פוטנציאל לנזק עצום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העובדה שמדובר בעבירות שהפכו זה מכבר למכת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עמדה הפסיקה על הצורך בענישה מחמירה ובלתי סלחנית כלפי מי שהורשעו בעבירות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יפים לעניין זה הדברים שנאמרו ב</w:t>
      </w:r>
      <w:hyperlink r:id="rId1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1695/22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מוחמד גנאים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29.03.2022</w:t>
      </w:r>
      <w:r>
        <w:rPr>
          <w:rFonts w:eastAsia="Calibri" w:cs="Calibri" w:ascii="Calibri" w:hAnsi="Calibri"/>
          <w:rtl w:val="true"/>
        </w:rPr>
        <w:t>):</w:t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לא אחת עמד בית משפט זה על החומרה היתרה שיש לעבירות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הפכו זה מכבר למכת מדינה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ושמאיימות באופן ממשי על שלום הציבור ועל ביטחונו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למשל</w:t>
      </w:r>
      <w:r>
        <w:rPr>
          <w:rFonts w:eastAsia="Calibri" w:cs="Calibri" w:ascii="Calibri" w:hAnsi="Calibri"/>
          <w:rtl w:val="true"/>
        </w:rPr>
        <w:t xml:space="preserve">: </w:t>
      </w:r>
      <w:hyperlink r:id="rId1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4945/13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מדינת ישראל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סלימאן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11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19.1.2014</w:t>
      </w:r>
      <w:r>
        <w:rPr>
          <w:rFonts w:eastAsia="Calibri" w:cs="Calibri" w:ascii="Calibri" w:hAnsi="Calibri"/>
          <w:rtl w:val="true"/>
        </w:rPr>
        <w:t>) 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עניין סלימאן</w:t>
      </w:r>
      <w:r>
        <w:rPr>
          <w:rFonts w:eastAsia="Calibri" w:cs="Calibri" w:ascii="Calibri" w:hAnsi="Calibri"/>
          <w:rtl w:val="true"/>
        </w:rPr>
        <w:t xml:space="preserve">); </w:t>
      </w:r>
      <w:hyperlink r:id="rId1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135/17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מדינת ישראל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בסל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8.3.2017</w:t>
      </w:r>
      <w:r>
        <w:rPr>
          <w:rFonts w:eastAsia="Calibri" w:cs="Calibri" w:ascii="Calibri" w:hAnsi="Calibri"/>
          <w:rtl w:val="true"/>
        </w:rPr>
        <w:t xml:space="preserve">); </w:t>
      </w:r>
      <w:hyperlink r:id="rId1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8017/20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מדינת ישראל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גריפאת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22.12.2020</w:t>
      </w:r>
      <w:r>
        <w:rPr>
          <w:rFonts w:eastAsia="Calibri" w:cs="Calibri" w:ascii="Calibri" w:hAnsi="Calibri"/>
          <w:rtl w:val="true"/>
        </w:rPr>
        <w:t xml:space="preserve">); </w:t>
      </w:r>
      <w:hyperlink r:id="rId1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1059/21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פלוני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7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29.4.2021</w:t>
      </w:r>
      <w:r>
        <w:rPr>
          <w:rFonts w:eastAsia="Calibri" w:cs="Calibri" w:ascii="Calibri" w:hAnsi="Calibri"/>
          <w:rtl w:val="true"/>
        </w:rPr>
        <w:t xml:space="preserve">); </w:t>
      </w:r>
      <w:hyperlink r:id="rId1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2251/21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אבו עראר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25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15.12.2021</w:t>
      </w:r>
      <w:r>
        <w:rPr>
          <w:rFonts w:eastAsia="Calibri" w:cs="Calibri" w:ascii="Calibri" w:hAnsi="Calibri"/>
          <w:rtl w:val="true"/>
        </w:rPr>
        <w:t xml:space="preserve">)). </w:t>
      </w:r>
      <w:r>
        <w:rPr>
          <w:rFonts w:ascii="Calibri" w:hAnsi="Calibri" w:eastAsia="Calibri" w:cs="Calibri"/>
          <w:rtl w:val="true"/>
        </w:rPr>
        <w:t>משכך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ניכרת בפסיקה מגמה עקבית של החמרה בענישה הנוהגת כלפי מבצעי עבירות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במטרה לשדר מסר מרתיע מפני ביצוען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למשל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עניין סלימאן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14</w:t>
      </w:r>
      <w:r>
        <w:rPr>
          <w:rFonts w:eastAsia="Calibri" w:cs="Calibri" w:ascii="Calibri" w:hAnsi="Calibri"/>
          <w:rtl w:val="true"/>
        </w:rPr>
        <w:t xml:space="preserve">; </w:t>
      </w:r>
      <w:hyperlink r:id="rId1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5330/20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ענבתאוי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14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22.11.2020</w:t>
      </w:r>
      <w:r>
        <w:rPr>
          <w:rFonts w:eastAsia="Calibri" w:cs="Calibri" w:ascii="Calibri" w:hAnsi="Calibri"/>
          <w:rtl w:val="true"/>
        </w:rPr>
        <w:t xml:space="preserve">); </w:t>
      </w:r>
      <w:hyperlink r:id="rId2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3169/21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מדינת ישראל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אגבאריה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21.6.2021</w:t>
      </w:r>
      <w:r>
        <w:rPr>
          <w:rFonts w:eastAsia="Calibri" w:cs="Calibri" w:ascii="Calibri" w:hAnsi="Calibri"/>
          <w:rtl w:val="true"/>
        </w:rPr>
        <w:t>))".</w:t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Arial TUR;Arial"/>
          <w:spacing w:val="10"/>
          <w:sz w:val="22"/>
          <w:szCs w:val="22"/>
        </w:rPr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firstLine="720" w:end="0"/>
        <w:jc w:val="both"/>
        <w:rPr>
          <w:rFonts w:ascii="David" w:hAnsi="David" w:eastAsia="Calibri" w:cs="David"/>
          <w:color w:val="000000"/>
        </w:rPr>
      </w:pPr>
      <w:r>
        <w:rPr>
          <w:rFonts w:ascii="David" w:hAnsi="David" w:eastAsia="Calibri"/>
          <w:color w:val="000000"/>
          <w:rtl w:val="true"/>
        </w:rPr>
        <w:t>וב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אבו עבסה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23.01.2022</w:t>
      </w:r>
      <w:r>
        <w:rPr>
          <w:rFonts w:eastAsia="Calibri" w:cs="David" w:ascii="David" w:hAnsi="David"/>
          <w:color w:val="000000"/>
          <w:rtl w:val="true"/>
        </w:rPr>
        <w:t xml:space="preserve">) </w:t>
      </w:r>
      <w:r>
        <w:rPr>
          <w:rFonts w:ascii="David" w:hAnsi="David" w:eastAsia="Calibri"/>
          <w:color w:val="000000"/>
          <w:rtl w:val="true"/>
        </w:rPr>
        <w:t>נאמר כי</w:t>
      </w:r>
      <w:r>
        <w:rPr>
          <w:rFonts w:eastAsia="Calibri" w:cs="David" w:ascii="David" w:hAnsi="David"/>
          <w:color w:val="000000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end="0"/>
        <w:jc w:val="both"/>
        <w:rPr>
          <w:rFonts w:ascii="Calibri" w:hAnsi="Calibri" w:eastAsia="Calibri" w:cs="Arial TUR;Arial"/>
          <w:color w:val="000000"/>
          <w:spacing w:val="10"/>
          <w:sz w:val="27"/>
          <w:szCs w:val="27"/>
        </w:rPr>
      </w:pPr>
      <w:r>
        <w:rPr>
          <w:rFonts w:eastAsia="Calibri" w:cs="Arial TUR;Arial" w:ascii="Calibri" w:hAnsi="Calibri"/>
          <w:color w:val="000000"/>
          <w:spacing w:val="10"/>
          <w:sz w:val="27"/>
          <w:szCs w:val="27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רבות דובר ונכתב על השימוש הנרחב שנעשה בחברה בישראל בכלל ובמגזר הערבי בפרט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בנשק בלתי חוקי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ופגיעה ממשית בביטחונם האישי וברווחתם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 פעם עמד בית משפט זה על הצורך בענישה מרתיעה ומחמירה על מנת למגר תופעה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וכפי שקבעתי במקרה אחר</w:t>
      </w:r>
      <w:r>
        <w:rPr>
          <w:rFonts w:eastAsia="Calibri" w:cs="Calibri" w:ascii="Calibri" w:hAnsi="Calibri"/>
          <w:rtl w:val="true"/>
        </w:rPr>
        <w:t xml:space="preserve">: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1814" w:end="181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  <w:tab/>
        <w:t>'</w:t>
      </w:r>
      <w:r>
        <w:rPr>
          <w:rFonts w:ascii="Calibri" w:hAnsi="Calibri" w:eastAsia="Calibri" w:cs="Calibri"/>
          <w:rtl w:val="true"/>
        </w:rPr>
        <w:t>השימוש בנשק חם ככלי ליישוב סכסוכים הפך לרעה חולה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 למשל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דו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 מבקר המדינה התמודדות משטרת ישראל עם החזקת אמצעי לחימה לא חוקיים ואירועי ירי ביישובי החברה הערבית וביישובים מ</w:t>
      </w:r>
      <w:r>
        <w:rPr>
          <w:rFonts w:ascii="David" w:hAnsi="David" w:eastAsia="Calibri"/>
          <w:rtl w:val="true"/>
        </w:rPr>
        <w:t xml:space="preserve">עורבים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Calibri" w:hAnsi="Calibri" w:eastAsia="Calibri" w:cs="Calibri"/>
          <w:rtl w:val="true"/>
        </w:rPr>
        <w:t>על רקע המציאות אותה אנו חווים למרבה הצער מדי 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Calibri" w:ascii="Calibri" w:hAnsi="Calibri"/>
          <w:rtl w:val="true"/>
        </w:rPr>
        <w:t xml:space="preserve">...'.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1814" w:end="181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  <w:tab/>
      </w:r>
      <w:r>
        <w:rPr>
          <w:rFonts w:eastAsia="Calibri" w:cs="Calibri" w:ascii="Calibri" w:hAnsi="Calibri"/>
          <w:rtl w:val="true"/>
        </w:rPr>
        <w:t xml:space="preserve">    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/>
      </w:pPr>
      <w:r>
        <w:rPr>
          <w:rFonts w:ascii="Calibri" w:hAnsi="Calibri" w:eastAsia="Calibri" w:cs="Calibri"/>
          <w:rtl w:val="true"/>
        </w:rPr>
        <w:t>בהתאם לזאת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וכחלק מתפקידו של בית המשפט בביעורן של תופעות קשות אלו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דרך הסוחרים בו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ועד לאלו הנוטלים אותו לידם ועושים בו שימוש בלתי חוקי</w:t>
      </w:r>
      <w:r>
        <w:rPr>
          <w:rFonts w:eastAsia="Calibri" w:cs="David" w:ascii="David" w:hAnsi="David"/>
          <w:rtl w:val="true"/>
        </w:rPr>
        <w:t>."</w:t>
      </w: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מגמת ההחמרה ביחס לעבירות בנשק ניתן גם ללמוד מהתיקון ל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ואשר נועד להחמיר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אגב קביעת עונשי מינימום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עבירות של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התיקון נועד להילחם בהתפשטות העבירות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להשלכותיהן החמורות והמחיר שהן גובות בחיי אדם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יתרה מזאת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30.3.2023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פורסם חוק המאבק בכלי הנשק הבלתי חוקיים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תיקון חקיקה והוראות שעה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התשפ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שנועד לפעול לצמצום מספרם של כלי הנשק הבלתי חוקיים המשמשים ארגוני פשיעה ופשיעה חמורה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באמצעות מתן כלים למשטרת ישראל וליתר רשויות אכיפת החוק להתמודד עם התופעה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החוק 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הבחנה בין חלקי נשק מהותיים לחלקי נשק שאינם מהותיים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העונש על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או הובלה של חלק מהותי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הוחמר משלוש לחמש 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ואילו כשמדובר בחלק של נשק שאינו מהותי נותר העונש על קנו קרי שלוש 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חקיקה זו אף היא מעידה על החומרה שבה רואה המחוקק להתייחס לעבירות בנשק באשר הן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למרבה הצער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חרף מדיניות ההחמרה בענישה ביחס לעבירות בנשק ותיקוני החקיקה שנועדו להילחם בתופעה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ממשיכים עברייני הנשק לזרוע פורענות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לקצור חיי אדם ולהטיל אימה על אזרחים המבקשים לחיות את חייהם בשלום ובבטחה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כמעט לא חולף שבוע מבלי שאנו מתבשרים על גדיעת חיים נוספת הנעשית תוך שימוש בנשק חם המוחזק באופן בלתי חוקי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אין מקום להשלים עם מציאות עגומה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ותפקידו של בית המשפט מתבטא בהחמרת הענישה כלפי מי שמהין לעשות שימוש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וכפי שנאמר</w:t>
      </w:r>
      <w:r>
        <w:rPr>
          <w:rFonts w:eastAsia="Calibri" w:cs="David" w:ascii="David" w:hAnsi="David"/>
          <w:rtl w:val="true"/>
        </w:rPr>
        <w:t>, "</w:t>
      </w:r>
      <w:r>
        <w:rPr>
          <w:rFonts w:ascii="David" w:hAnsi="David" w:eastAsia="Calibri"/>
          <w:rtl w:val="true"/>
        </w:rPr>
        <w:t xml:space="preserve">שומר נפשו ושלומו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ירחק מעבירות הנשק באשר 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קלות כחמורות</w:t>
      </w:r>
      <w:r>
        <w:rPr>
          <w:rFonts w:eastAsia="Calibri" w:cs="David" w:ascii="David" w:hAnsi="David"/>
          <w:rtl w:val="true"/>
        </w:rPr>
        <w:t>" (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78/21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 w:before="240" w:after="24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הערכים החברתיים שנפגעו מביצוע העבירות בענייננו הם הגנה על קדושת החיים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ביטחון הציבור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שלומו ובריאותו ושמירה על שלטון החוק והסדר הציבורי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נשיאת נשק חם יוצרת סיכון שהנשק יגיע בסופו של יום לידי גורמים שיעשו בו שימוש למטרות עברייניות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בנוסף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ירי בנשק חם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אף אם הוא נעשה בשטח פתוח או אם כוון לאוויר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טומן בחובו סיכון ממשי לפגיעה בחפים מפשע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לבחון את הנסיבות הקשורות בביצוע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להביא בחשבון את העובדה כי מעשיו של הנאשם היו כרוכים בתכנון והתארגנות מראש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העובדה שהלה הסתיר את הנשק בתא נסתר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כמו גם העובדה שהנשק היה טעון במחסנית ובתוכה לפחות עשרה כדורים תואמים וכי הנאשם נשא בנוסף שקית ניילון ובתוכה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זו בלבד שהיא מלמדת על התארגנות ותכנון מראש אלא מצביעה על נחישותו של הנאשם לבצע את העבירות בהן הורשע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במובן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מדובר בעבירה ספונטאנית שנעשתה תוך הפעלת שיקול דעת רגעי שגוי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במי שגמר אומר בלבו לבצע את העבירות בהן הורשע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העובדה שלצד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המחסנית והכדורים שהוסתרו בתא הנסתר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החביא הנאשם גם רעלת פנים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מעידה על חשיבה עבריינית ומסוכנת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מעשיו של הנאשם לא גרמו לנזק פיזי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פוטנציאל הנזק הוא רב ורק יד המזל הובילה לכך שאירוע הירי לא הסתיים בפגיעות בנפש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נכון הוא שמדובר בירי שנעשה בשעת לילה מאוחרת ושלא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מעובדות כתב האישום עולה כי הירי נעשה במגרש החנייה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הר אחים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במגרש חניה שאין לדעת אם היו בו רכבים וניתן על נקלה לדמיין תרחיש שבו היה נכנס רכב בזמן ביצוע הירי ונפגע כתוצאה ממעשיו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טבעו של נשק המוחזק באופן בלתי חוקי שייעשה בו שימוש לצרכים עברייניים הגובים מחירים כבדים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בחינת מדיניות הענישה הנוהגת מלמדת על מנעד ענישה רחב התלוי מטבע הדברים בנסיבות הפרטניות של כל מקרה ומקרה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כמות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סוגו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נסיבות הובלתו ונשיאתו ומאפייניו האישיים של המבצע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עברו הפלילי וסיכויי שיקומו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וכפי שצוין קודם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בפסיקה ניכרת מגמת החמרה בעבירות בנשק נוכח המציאות של התפשטות התופעה והמחירים הכבדים הכרוכים 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להלן דוגמאות מהפסיקה מן השנים האחרונות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3728/22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מסאלחה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9.8.2022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נדחה ערעורו של מי שהורשע בעבירת סיוע לנשיאה והובלה של כלי נשק ללא רישיון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 של כלי נשק ללא היתר ועבירת סיוע לירי מנשק 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מקרה מדובר היה במי שנסע יחד עם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נוהג ברכב והאחר לידו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ותוך כדי נסיעה הוציא האחר את ידו מהחלון הקדמי של הרכב וירה ירייה אחת מאקדח מסוג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המערער באותו מקרה המשיך בנסיעה קצרה ולאחר מכן עצר את הרכב בצד הדרך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ובשלב זה הגיעו אנשי המשטרה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ערכו חיפוש ברכב ותפסו את האקדח ובנוסף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בכיס מכנסיו של המערער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המחוזי השית על המערער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הערעור על חומרת העונש נדחה על ידי בית המשפט העליון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ציין כי אין כל מקום להמעיט בחומרת מעשיו של המערער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שסייע לחברו לשאת ולהוביל אקדח ללא רישיון ואף לבצע ירי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hyperlink r:id="rId2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5765/20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אבו בכר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מדינת ישראל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22.3.2021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נדון עניינם של מערערים שנשאו והובילו ברכב שני אקדחים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כשבכל אקדח מחסנית מלאה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כאשר סימנו להם שוטרים לעצור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המשיך הנהג בנסיעה קצרה ולאחר שעצר את הרכב יצא חברו מהרכב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רץ אל עבר חצר סמוכה ושם השליך את האקדחים והמחסניות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המחוזי הטיל על כל אחד מהם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 הגם שמדובר בצעירים נעדרי עבר פלילי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 דחה את הערעור על חומרת העונש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hyperlink r:id="rId2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545/20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פלוני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3.5.2021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נדון ערעורו של מי שהורשע בעבירות של נשיאה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הובלה והחזקה של 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באותו מקרה נהג המערער כשהוא מוביל ומחזיק אקדח חצי אוטומטי טעון במחסנית ריקה וכן מוביל נושא ומחזיק </w:t>
      </w:r>
      <w:r>
        <w:rPr>
          <w:rFonts w:eastAsia="Calibri" w:cs="Calibri" w:ascii="Calibri" w:hAnsi="Calibri"/>
        </w:rPr>
        <w:t>50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כדורים בקוטר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 על גופו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המחוזי גזר על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הנעדר כל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מאסר בפועל למשך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 לצד ענישה נלווית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שהתחשב בעובדה כי האקדח לא היה תקין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 דחה את הערעור על חומרת העונש בציינו כי העונש הנו על הצד המקל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hyperlink r:id="rId2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2141/21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חניני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27.5.2021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מדובר היה במי שהצטייד באקדח אוויר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בו בוצעו שינויים המאפשרים ירי תחמושת ובו כדורים תואמים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המערער נתפס בחצר המצויה בקרבת ביתו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בשעת לילה מאוחרת כשהוא נושא את האקדח על גופו ובתוכו ארבעה כדורים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המחוזי גזר עליו </w:t>
      </w:r>
      <w:r>
        <w:rPr>
          <w:rFonts w:eastAsia="Calibri" w:cs="Calibri" w:ascii="Calibri" w:hAnsi="Calibri"/>
        </w:rPr>
        <w:t>20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 דחה את הערעור על חומרת העונש בציינו כי למערער אמנם עבר פלילי בעבירות אלימות והוא אף ריצה מאסר בעבר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אולם מדובר במי שהרשעתו האחרונה היא מלפני כעשור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ובנסיבות אין ליתן משקל רב לנקודה זו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לצד זאת נקבע כי העבירה של החזקת נשק היא חמורה והפכה למכת מדינה וכי נסיבות העבירה מצביעות על מסוכנות הדורשת הטלת עונש מאסר חרף ניצני השיקום שהתגלו אצל המערער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hyperlink r:id="rId2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2564/19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אזברגה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מדינת ישראל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18.7.2019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נדון עניינו של  צעיר נעדר עבר פלילי שהורשע בנשיאת אקדח ומחסנית תואמת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אותם רכש יחד עם חברו זמן קצר קודם שנעצר על ידי המשטרה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המחוזי קבע מתחם עונש שנע בין </w:t>
      </w:r>
      <w:r>
        <w:rPr>
          <w:rFonts w:eastAsia="Calibri" w:cs="Calibri" w:ascii="Calibri" w:hAnsi="Calibri"/>
        </w:rPr>
        <w:t>12-40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בפעל וגזר על המערער </w:t>
      </w:r>
      <w:r>
        <w:rPr>
          <w:rFonts w:eastAsia="Calibri" w:cs="Calibri" w:ascii="Calibri" w:hAnsi="Calibri"/>
        </w:rPr>
        <w:t>16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הערעור על חומרת העונש נדחה על ידי בית המשפט העליון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hyperlink r:id="rId2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4215/18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טיב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8.7.2018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נדחה ערעורו של צעיר שהורשע בעבירות של נשיאת נשק ותחמושת בהיותו בן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וחמשה חודשים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המערער שהה בסמטה סמוכה לחצר ביתו כשהוא נושא על גופו אקדח טעון בארבעה כדורים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המחוזי קבע מתחם הנע בין </w:t>
      </w:r>
      <w:r>
        <w:rPr>
          <w:rFonts w:eastAsia="Calibri" w:cs="Calibri" w:ascii="Calibri" w:hAnsi="Calibri"/>
        </w:rPr>
        <w:t>15-36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וגזר על המערער עונש של </w:t>
      </w:r>
      <w:r>
        <w:rPr>
          <w:rFonts w:eastAsia="Calibri" w:cs="Calibri" w:ascii="Calibri" w:hAnsi="Calibri"/>
        </w:rPr>
        <w:t>15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לריצוי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ערעור על חומרת העונש נדחה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כאמור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ידי בית המשפט העליון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David" w:hAnsi="David" w:eastAsia="Calibri"/>
          <w:color w:val="000000"/>
          <w:rtl w:val="true"/>
        </w:rPr>
        <w:t>ב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7177/20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כנעאן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27.1.2021</w:t>
      </w:r>
      <w:r>
        <w:rPr>
          <w:rFonts w:eastAsia="Calibri" w:cs="David" w:ascii="David" w:hAnsi="David"/>
          <w:color w:val="000000"/>
          <w:rtl w:val="true"/>
        </w:rPr>
        <w:t xml:space="preserve">) </w:t>
      </w:r>
      <w:r>
        <w:rPr>
          <w:rFonts w:ascii="David" w:hAnsi="David" w:eastAsia="Calibri"/>
          <w:color w:val="000000"/>
          <w:rtl w:val="true"/>
        </w:rPr>
        <w:t>נדון ערעורו של מי שהורשע בנשיאת נשק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מדובר במי שיצא מפתח ביתו של שכנו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הוציא אקדח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הכניס לתוכו מחסנית טעונה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דרך את האקדח וכעבור מספר דקות פרק אותו והעביר אותו לאחר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בית המשפט המחוזי גזר על המערער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בעל הרשעות בעבירות נשק ומי שריצה בעבר מאסר בפועל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eastAsia="Calibri" w:cs="David" w:ascii="David" w:hAnsi="David"/>
          <w:color w:val="000000"/>
        </w:rPr>
        <w:t>24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לריצוי בפועל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בית המשפט העליון דחה את הערעור על חומרת העונש</w:t>
      </w:r>
      <w:r>
        <w:rPr>
          <w:rFonts w:eastAsia="Calibri" w:cs="David" w:ascii="David" w:hAnsi="David"/>
          <w:color w:val="000000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שבחנתי את הנסיבות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הערכים המוגנים שנפגעו כתוצאה מביצוען ואת מדיניות הענישה הנוהגת במקרים דומים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קובע כי מתחם העונש ההולם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מצוי בטווח שבין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eastAsia="Calibri" w:cs="David" w:ascii="David" w:hAnsi="David"/>
        </w:rPr>
        <w:t>38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 לצד עונשים נלווים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גזירת העונש בתוך 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לגזור את עונשו של הנאשם בתוך המתחם שנקבע לגביו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להביא בחשבון את הודאתו שניתנה בשלב מוקדם של ההליך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במסגרת הסדר טיעון ומבלי שהוכנס תיקון בכתב האישום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הודאה זו מגלמת בחובה נטילת אחריות מצדו של הנאשם על מעשיו והביאה בנוסף לחיסכון בזמן שיפוטי יקר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במסגרת הנסיבות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נתתי דעתי גם להרשעתו הקודמת של הנאשם בעבירות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זו בלבד שמדובר בהרשעה מלפני זמן לא רב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שהעבירות בהן הורשע הנאשם בתיק זה נעשו על ידו שעה שתלוי ועומד נגדו מאסר מותנה בר הפעלה בגין הרשעתו הקודמת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יש בכך כדי ללמד על כי הנאשם לא הפנים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למרבה הצער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הלקח מהסתבכותו בעבר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מורא הדין אינו שורה עליו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נתתי דעתי לתסקיר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 מצאתי כי יש בו כדי להביא להקלה בעונשו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נהפוך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שירות המבחן העריך כי קיים סיכון משמעותי להישנות התנהגות עוברת חוק מצדו בעתיד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נכון הוא שלצד זאת נאמר כי הנאשם החל באופן ראשוני לחשוף כשלים וכי קיימת חשיבות לאפשר לו להמשיך בטיפול בו החל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בשים לב לחומרת העבירות בהן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בידי לקבל המלצה זו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שיקולי השיקום ניצבים לנגד עיני בית המשפט שיקולים נוספים כגון שיקולי גמול והרתעה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הרתעת הרבים לגבי עבירות שהפכו כאמור למכת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ומשקלם של אלה גובר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3728/22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שהוזכר לעיל ציין בית המשפט כי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כידוע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שיקולי שיקום אינם חזות הכל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והם אך מני רבים שבית המשפט נדרש לשקול בבואו לגזור את הדין </w:t>
      </w:r>
      <w:r>
        <w:rPr>
          <w:rFonts w:eastAsia="Calibri" w:cs="David" w:ascii="David" w:hAnsi="David"/>
          <w:rtl w:val="true"/>
        </w:rPr>
        <w:t>(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78/21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בדומה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המלצת שירות המבחן גם היא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אינה מחייבת את בית המשפט ושמה מעיד על תכליתה – המלצה שנועדה להאיר תמונה רחבה על אודות נסיבותיו האישיות של הנאשם </w:t>
      </w:r>
      <w:r>
        <w:rPr>
          <w:rFonts w:eastAsia="Calibri" w:cs="David" w:ascii="David" w:hAnsi="David"/>
          <w:rtl w:val="true"/>
        </w:rPr>
        <w:t>(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2260/22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18.7.2022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בית המשפט היושב בדין הוא הנדרש לשקלל את נסיבות ביצוע העבירה ונסיבותיו הפרטניות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 גם שיקולים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לכדי ענישה הולמת וראויה </w:t>
      </w:r>
      <w:r>
        <w:rPr>
          <w:rFonts w:eastAsia="Calibri" w:cs="David" w:ascii="David" w:hAnsi="David"/>
          <w:rtl w:val="true"/>
        </w:rPr>
        <w:t>(</w:t>
      </w:r>
      <w:hyperlink r:id="rId3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6068/21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פקיה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19.12.2021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נתתי דעתי גם לנסיבותיו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שנסקרו בתסקיר שירות המבחן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אכן נראה על פניו כי הנאשם נושא מילדותו צלקת הקשורה ליחסים המורכבים בתוך משפחתו הגרעינית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בידי לקבל את הטענה כי נסיבות אלו מכשירות או מצדיקות את התנהלותו העבריינית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ודוקו מעיון בטיעונים לעונש שהועלו במסגרת התיק הקודם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שם הורשע הנאשם בעבירה של החזקת תחמושת של נשק בהיקף של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מתחוור כי סנגורו העלה אותן טענות בדיוק ביחס לנסיבותיו המשפחתיות המורכבות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אין להשלים עם מצב בו הנאשם מסתבך בעבירות חמורות ובכל פעם תולה את האשם בנסיבותיו המשפחתיות ובצלקות אותן הוא נושא עוד מילדותו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כיום בן </w:t>
      </w: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והגיעה העת שייקח את עצמו בידיים ויישא באחריות למעשיו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מקבץ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בדעתי לגזור את עונשו של הנאשם בשליש התחתון של המתחם שנקבע לגביו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חילוט הרכב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המאשימה בקשה לחלט את הרכב המצוי בבעלותו של הנאשם ואשר באמצעותו נעשו העבירות בהן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וזאת על סמך הוראת </w:t>
      </w:r>
      <w:hyperlink r:id="rId35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39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מעצר וחיפוש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נוסח חדש</w:t>
      </w:r>
      <w:r>
        <w:rPr>
          <w:rFonts w:eastAsia="Calibri" w:cs="David" w:ascii="David" w:hAnsi="David"/>
          <w:rtl w:val="true"/>
        </w:rPr>
        <w:t xml:space="preserve">], </w:t>
      </w:r>
      <w:r>
        <w:rPr>
          <w:rFonts w:ascii="David" w:hAnsi="David" w:eastAsia="Calibri"/>
          <w:rtl w:val="true"/>
        </w:rPr>
        <w:t>התשכ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ט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1969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סעיף זה קובע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על אף האמור בכל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רשאי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בנוסף על כל עונש שיטיל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לצוות על חילוט החפץ שנתפס לפי סעיף </w:t>
      </w: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או שהגיע לידי המשטרה כאמור בסעיף </w:t>
      </w:r>
      <w:r>
        <w:rPr>
          <w:rFonts w:eastAsia="Calibri" w:cs="David" w:ascii="David" w:hAnsi="David"/>
        </w:rPr>
        <w:t>33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האדם שהורשע במעשה העבירה שנעשה בחפץ או לגביו הוא בעל החפץ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דין צו זה כדין עונש שהוטל על הנאשם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הפסיקה קבעה כי לצורך החילוט יש לבחון את מהותה ועוצמתה של הזיקה בין הנשק לבין המכונית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יש לבחון האם המכונית שימשה רכיב מהותי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בלעדיו לא היה ניתן לבצעה </w:t>
      </w:r>
      <w:r>
        <w:rPr>
          <w:rFonts w:eastAsia="Calibri" w:cs="David" w:ascii="David" w:hAnsi="David"/>
          <w:rtl w:val="true"/>
        </w:rPr>
        <w:t>(</w:t>
      </w:r>
      <w:hyperlink r:id="rId3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2963/13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eastAsia="Calibri" w:cs="David" w:ascii="David" w:hAnsi="David"/>
          <w:rtl w:val="true"/>
        </w:rPr>
        <w:t>, (</w:t>
      </w:r>
      <w:r>
        <w:rPr>
          <w:rFonts w:eastAsia="Calibri" w:cs="David" w:ascii="David" w:hAnsi="David"/>
        </w:rPr>
        <w:t>10.2.2014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חולק כי הנאשם עשה שימוש ברכב שבבעלותו לצורך ביצוע העבירות מושא כתב האישום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רכבו של הנאשם היה האמצעי העיקרי שאפשר את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שעה שהנשק המחסנית והכדורים הוסתרו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הוחזקו והובלו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עד למגרש  שם ירה שלא כדין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באמצעות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ושב והסתירו בתוך הרכב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להורות על חילוט רכבו של הנאשם לטובת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כחלק מרכיבי הענישה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סוף דבר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מורה על הפעלת המאסר המותנה בן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חודשים שהוטל על הנאשם על ידי בית משפט השלום בעכו במסגרת </w:t>
      </w:r>
      <w:hyperlink r:id="rId3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56999-06-20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באופן מצטבר לעונש שנגזר עליו בגין תיק 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בסה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ירצה הנאשם </w:t>
      </w: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בניכוי ימי מעצרו מיום </w:t>
      </w:r>
      <w:r>
        <w:rPr>
          <w:rFonts w:eastAsia="Calibri" w:cs="David" w:ascii="David" w:hAnsi="David"/>
        </w:rPr>
        <w:t>17.3.2022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24.5.2022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עבירת נשק מסוג פשע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אני מורה על חילוט רכבו של הנאשם מסוג מרצדס 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 xml:space="preserve">ר </w:t>
      </w:r>
      <w:r>
        <w:rPr>
          <w:rFonts w:eastAsia="Calibri" w:cs="David" w:ascii="David" w:hAnsi="David"/>
        </w:rPr>
        <w:t>90-087-72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לטובת המדינה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יתייצב לתחילת ריצוי מאסרו ביום </w:t>
      </w:r>
      <w:r>
        <w:rPr>
          <w:rFonts w:eastAsia="Calibri" w:cs="David" w:ascii="David" w:hAnsi="David"/>
        </w:rPr>
        <w:t>18.5.2023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08:00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בבית מעצר הקישון כשבידו תעודה מזהה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עד אז ימשיכו לחול לגביו התנאים המגבילים החלים עליו כיום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567" w:end="0"/>
        <w:jc w:val="both"/>
        <w:rPr>
          <w:rFonts w:ascii="David" w:hAnsi="David" w:eastAsia="Calibri" w:cs="David"/>
          <w:color w:val="FFFFFF"/>
          <w:sz w:val="2"/>
          <w:szCs w:val="2"/>
        </w:rPr>
      </w:pPr>
      <w:r>
        <w:rPr>
          <w:rFonts w:eastAsia="Calibri"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color w:val="FFFFFF"/>
          <w:sz w:val="2"/>
          <w:szCs w:val="2"/>
        </w:rPr>
        <w:t>54678313</w:t>
      </w: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ניסן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1390-04-22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ואל עזאם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.a" TargetMode="External"/><Relationship Id="rId6" Type="http://schemas.openxmlformats.org/officeDocument/2006/relationships/hyperlink" Target="http://www.nevo.co.il/law/74918" TargetMode="External"/><Relationship Id="rId7" Type="http://schemas.openxmlformats.org/officeDocument/2006/relationships/hyperlink" Target="http://www.nevo.co.il/law/74918/39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0a.a" TargetMode="External"/><Relationship Id="rId12" Type="http://schemas.openxmlformats.org/officeDocument/2006/relationships/hyperlink" Target="http://www.nevo.co.il/case/26784448" TargetMode="External"/><Relationship Id="rId13" Type="http://schemas.openxmlformats.org/officeDocument/2006/relationships/hyperlink" Target="http://www.nevo.co.il/case/28384637" TargetMode="External"/><Relationship Id="rId14" Type="http://schemas.openxmlformats.org/officeDocument/2006/relationships/hyperlink" Target="http://www.nevo.co.il/case/7791493" TargetMode="External"/><Relationship Id="rId15" Type="http://schemas.openxmlformats.org/officeDocument/2006/relationships/hyperlink" Target="http://www.nevo.co.il/case/22006503" TargetMode="External"/><Relationship Id="rId16" Type="http://schemas.openxmlformats.org/officeDocument/2006/relationships/hyperlink" Target="http://www.nevo.co.il/case/27171364" TargetMode="External"/><Relationship Id="rId17" Type="http://schemas.openxmlformats.org/officeDocument/2006/relationships/hyperlink" Target="http://www.nevo.co.il/case/27404359" TargetMode="External"/><Relationship Id="rId18" Type="http://schemas.openxmlformats.org/officeDocument/2006/relationships/hyperlink" Target="http://www.nevo.co.il/case/27513376" TargetMode="External"/><Relationship Id="rId19" Type="http://schemas.openxmlformats.org/officeDocument/2006/relationships/hyperlink" Target="http://www.nevo.co.il/case/26888657" TargetMode="External"/><Relationship Id="rId20" Type="http://schemas.openxmlformats.org/officeDocument/2006/relationships/hyperlink" Target="http://www.nevo.co.il/case/27603872" TargetMode="External"/><Relationship Id="rId21" Type="http://schemas.openxmlformats.org/officeDocument/2006/relationships/hyperlink" Target="http://www.nevo.co.il/case/27734980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7305799" TargetMode="External"/><Relationship Id="rId24" Type="http://schemas.openxmlformats.org/officeDocument/2006/relationships/hyperlink" Target="http://www.nevo.co.il/case/28660017" TargetMode="External"/><Relationship Id="rId25" Type="http://schemas.openxmlformats.org/officeDocument/2006/relationships/hyperlink" Target="http://www.nevo.co.il/case/26931111" TargetMode="External"/><Relationship Id="rId26" Type="http://schemas.openxmlformats.org/officeDocument/2006/relationships/hyperlink" Target="http://www.nevo.co.il/case/26383419" TargetMode="External"/><Relationship Id="rId27" Type="http://schemas.openxmlformats.org/officeDocument/2006/relationships/hyperlink" Target="http://www.nevo.co.il/case/27502726" TargetMode="External"/><Relationship Id="rId28" Type="http://schemas.openxmlformats.org/officeDocument/2006/relationships/hyperlink" Target="http://www.nevo.co.il/case/25612982" TargetMode="External"/><Relationship Id="rId29" Type="http://schemas.openxmlformats.org/officeDocument/2006/relationships/hyperlink" Target="http://www.nevo.co.il/case/24263578" TargetMode="External"/><Relationship Id="rId30" Type="http://schemas.openxmlformats.org/officeDocument/2006/relationships/hyperlink" Target="http://www.nevo.co.il/case/27087184" TargetMode="External"/><Relationship Id="rId31" Type="http://schemas.openxmlformats.org/officeDocument/2006/relationships/hyperlink" Target="http://www.nevo.co.il/case/28660017" TargetMode="External"/><Relationship Id="rId32" Type="http://schemas.openxmlformats.org/officeDocument/2006/relationships/hyperlink" Target="http://www.nevo.co.il/case/27305799" TargetMode="External"/><Relationship Id="rId33" Type="http://schemas.openxmlformats.org/officeDocument/2006/relationships/hyperlink" Target="http://www.nevo.co.il/case/28452957" TargetMode="External"/><Relationship Id="rId34" Type="http://schemas.openxmlformats.org/officeDocument/2006/relationships/hyperlink" Target="http://www.nevo.co.il/case/27915710" TargetMode="External"/><Relationship Id="rId35" Type="http://schemas.openxmlformats.org/officeDocument/2006/relationships/hyperlink" Target="http://www.nevo.co.il/law/74918/39" TargetMode="External"/><Relationship Id="rId36" Type="http://schemas.openxmlformats.org/officeDocument/2006/relationships/hyperlink" Target="http://www.nevo.co.il/law/74918" TargetMode="External"/><Relationship Id="rId37" Type="http://schemas.openxmlformats.org/officeDocument/2006/relationships/hyperlink" Target="http://www.nevo.co.il/case/11312605" TargetMode="External"/><Relationship Id="rId38" Type="http://schemas.openxmlformats.org/officeDocument/2006/relationships/hyperlink" Target="http://www.nevo.co.il/case/26784448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2024-05-05T08:39:00Z</dcterms:created>
  <dc:creator> </dc:creator>
  <dc:description/>
  <cp:keywords/>
  <dc:language>en-IL</dc:language>
  <cp:lastModifiedBy>h1</cp:lastModifiedBy>
  <dcterms:modified xsi:type="dcterms:W3CDTF">2024-05-05T08:39:00Z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ואל עזאם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26784448:2;28384637;7791493;22006503;27171364;27404359;27513376;26888657;27603872;27734980;27305799:2;28660017:2;26931111;26383419;27502726;25612982;24263578;27087184;28452957;27915710;11312605</vt:lpwstr>
  </property>
  <property fmtid="{D5CDD505-2E9C-101B-9397-08002B2CF9AE}" pid="9" name="CITY">
    <vt:lpwstr>חי'</vt:lpwstr>
  </property>
  <property fmtid="{D5CDD505-2E9C-101B-9397-08002B2CF9AE}" pid="10" name="DATE">
    <vt:lpwstr>20230418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70301/144.a;144.b;340a.a</vt:lpwstr>
  </property>
  <property fmtid="{D5CDD505-2E9C-101B-9397-08002B2CF9AE}" pid="15" name="LAWLISTTMP2">
    <vt:lpwstr>74918/039</vt:lpwstr>
  </property>
  <property fmtid="{D5CDD505-2E9C-101B-9397-08002B2CF9AE}" pid="16" name="LAWYER">
    <vt:lpwstr>יניב זוהר;זידאן מטאנס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1390</vt:lpwstr>
  </property>
  <property fmtid="{D5CDD505-2E9C-101B-9397-08002B2CF9AE}" pid="23" name="NEWPARTB">
    <vt:lpwstr>04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390020230418</vt:lpwstr>
  </property>
  <property fmtid="{D5CDD505-2E9C-101B-9397-08002B2CF9AE}" pid="35" name="TYPE_N_DATE">
    <vt:lpwstr>39020230418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