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1390-07-08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זהרי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אוגוסט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9"/>
        <w:gridCol w:w="5375"/>
      </w:tblGrid>
      <w:tr>
        <w:trPr>
          <w:trHeight w:val="337" w:hRule="atLeast"/>
        </w:trPr>
        <w:tc>
          <w:tcPr>
            <w:tcW w:w="850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5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נדב זהרי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מתמחה מר רועי אלפסי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מפרקליטות מחוז צפון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הופיע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הדר אורן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מטעם הסנגוריה הציבורית </w:t>
      </w:r>
    </w:p>
    <w:p>
      <w:pPr>
        <w:pStyle w:val="Normal"/>
        <w:spacing w:lineRule="auto" w:line="360" w:before="120" w:after="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 w:before="120" w:after="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120" w:after="0"/>
        <w:ind w:end="0"/>
        <w:jc w:val="both"/>
        <w:rPr/>
      </w:pPr>
      <w:bookmarkStart w:id="4" w:name="PsakDin"/>
      <w:bookmarkStart w:id="5" w:name="ABSTRACT_START"/>
      <w:bookmarkEnd w:id="4"/>
      <w:bookmarkEnd w:id="5"/>
      <w:r>
        <w:rPr>
          <w:rtl w:val="true"/>
        </w:rPr>
        <w:t>הנאשם הורשע על פי הודאתו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בביצוע </w:t>
      </w: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bookmarkStart w:id="6" w:name="ABSTRACT_END"/>
      <w:bookmarkEnd w:id="6"/>
      <w:r>
        <w:rPr>
          <w:rtl w:val="true"/>
        </w:rPr>
        <w:t xml:space="preserve">הנאשם החזיק ציוד צבאי ונשק צבאי הכולל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רימוני הלם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מחסניות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רימון עשן</w:t>
      </w:r>
      <w:r>
        <w:rPr>
          <w:rtl w:val="true"/>
        </w:rPr>
        <w:t xml:space="preserve">, </w:t>
      </w:r>
      <w:r>
        <w:rPr>
          <w:rtl w:val="true"/>
        </w:rPr>
        <w:t>רימון גז ופצצת תאורה ידנית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הנאשם ביקש לצרף הודה  והורשע גם 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2653/07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בעבירות של </w:t>
      </w:r>
      <w:r>
        <w:rPr>
          <w:b/>
          <w:b/>
          <w:bCs/>
          <w:rtl w:val="true"/>
        </w:rPr>
        <w:t xml:space="preserve">הפרעה לשוטר במילוי תפקידו </w:t>
      </w:r>
      <w:r>
        <w:rPr>
          <w:rtl w:val="true"/>
        </w:rPr>
        <w:t xml:space="preserve">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ושל </w:t>
      </w:r>
      <w:r>
        <w:rPr>
          <w:b/>
          <w:b/>
          <w:bCs/>
          <w:rtl w:val="true"/>
        </w:rPr>
        <w:t>העלבת עובד ציבור</w:t>
      </w:r>
      <w:r>
        <w:rPr>
          <w:rtl w:val="true"/>
        </w:rPr>
        <w:t xml:space="preserve"> לפי סעיף </w:t>
      </w:r>
      <w:r>
        <w:rPr/>
        <w:t>288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הנאשם העליב שוטרת וקילל שוטרים וקצין</w:t>
      </w:r>
      <w:r>
        <w:rPr>
          <w:rtl w:val="true"/>
        </w:rPr>
        <w:t xml:space="preserve">, </w:t>
      </w:r>
      <w:r>
        <w:rPr>
          <w:rtl w:val="true"/>
        </w:rPr>
        <w:t>וכשחברו עוכב בידי שוטרים</w:t>
      </w:r>
      <w:r>
        <w:rPr>
          <w:rtl w:val="true"/>
        </w:rPr>
        <w:t xml:space="preserve">, </w:t>
      </w:r>
      <w:r>
        <w:rPr>
          <w:rtl w:val="true"/>
        </w:rPr>
        <w:t>הוא ניסה לשחררו תפס שוטר וקילל אותו</w:t>
      </w:r>
      <w:r>
        <w:rPr>
          <w:rtl w:val="true"/>
        </w:rPr>
        <w:t xml:space="preserve">, </w:t>
      </w:r>
      <w:r>
        <w:rPr>
          <w:rtl w:val="true"/>
        </w:rPr>
        <w:t>והמשיך לקלל את השוטרות ולאחר מכן</w:t>
      </w:r>
      <w:r>
        <w:rPr>
          <w:rtl w:val="true"/>
        </w:rPr>
        <w:t xml:space="preserve">, </w:t>
      </w:r>
      <w:r>
        <w:rPr>
          <w:rtl w:val="true"/>
        </w:rPr>
        <w:t>תפס שני שוטרים על מנת למנוע מעצר חברו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highlight w:val="yellow"/>
          <w:u w:val="single"/>
        </w:rPr>
      </w:pPr>
      <w:r>
        <w:rPr>
          <w:rtl w:val="true"/>
        </w:rPr>
        <w:t xml:space="preserve"> 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מתסקיר שירות המבחן עולה כי הנאשם כבן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 שמתגורר עם בני משפחתו ברמת ישי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את שירותו הצבאי לשביעות ולאחר מכן עבד בעבודות מגוונות ובשנת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פתח חברה שמעניקה שירותי חיפוי אלומניום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שירות המבחן התייחס לתיק זה בלבד </w:t>
      </w:r>
      <w:r>
        <w:rPr>
          <w:rtl w:val="true"/>
        </w:rPr>
        <w:t>(</w:t>
      </w:r>
      <w:r>
        <w:rPr>
          <w:rtl w:val="true"/>
        </w:rPr>
        <w:t>שעניינו החזקה בנשק</w:t>
      </w:r>
      <w:r>
        <w:rPr>
          <w:rtl w:val="true"/>
        </w:rPr>
        <w:t xml:space="preserve">) </w:t>
      </w:r>
      <w:r>
        <w:rPr>
          <w:rtl w:val="true"/>
        </w:rPr>
        <w:t xml:space="preserve">ולא לתיק המצורף </w:t>
      </w:r>
      <w:r>
        <w:rPr>
          <w:rtl w:val="true"/>
        </w:rPr>
        <w:t>(</w:t>
      </w:r>
      <w:r>
        <w:rPr>
          <w:rtl w:val="true"/>
        </w:rPr>
        <w:t>שעניינו הפרעה לשוטרים</w:t>
      </w:r>
      <w:r>
        <w:rPr>
          <w:rtl w:val="true"/>
        </w:rPr>
        <w:t xml:space="preserve">). </w:t>
      </w:r>
      <w:r>
        <w:rPr>
          <w:rtl w:val="true"/>
        </w:rPr>
        <w:t>הנאשם טען כי הציוד נשכח בביתו ולא הייתה לו כוונה לעשות בו שימוש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שירות המבחן התרשם לחיוב מהנאשם ומהפוטנציאל השיקומי שלו והמליץ להעמידו בצו מבחן לתקופה של שנה</w:t>
      </w:r>
      <w:r>
        <w:rPr>
          <w:rtl w:val="true"/>
        </w:rPr>
        <w:t xml:space="preserve">. </w:t>
      </w:r>
      <w:r>
        <w:rPr>
          <w:rtl w:val="true"/>
        </w:rPr>
        <w:t>עוד המליץ שירות המבחן על אי הרשעת הנאשם בשל גילו הצעיר ובשל הפגיעה בהמשך עיסוקו כקבלן בעבודות של משרד הביטחון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התובעת הפנתה לחומרת העבריות המיוחסות לנאשם</w:t>
      </w:r>
      <w:r>
        <w:rPr>
          <w:rtl w:val="true"/>
        </w:rPr>
        <w:t xml:space="preserve">. </w:t>
      </w:r>
      <w:r>
        <w:rPr>
          <w:rtl w:val="true"/>
        </w:rPr>
        <w:t>היא טענה שמדובר בהחזקת ארסנל שלם</w:t>
      </w:r>
      <w:r>
        <w:rPr>
          <w:rtl w:val="true"/>
        </w:rPr>
        <w:t xml:space="preserve">, </w:t>
      </w:r>
      <w:r>
        <w:rPr>
          <w:rtl w:val="true"/>
        </w:rPr>
        <w:t>הציגה תמונות של הנשק וטענה שעבירת החזקת נשק טומנת בחובה סכנה רבה</w:t>
      </w:r>
      <w:r>
        <w:rPr>
          <w:rtl w:val="true"/>
        </w:rPr>
        <w:t xml:space="preserve">. </w:t>
      </w:r>
      <w:r>
        <w:rPr>
          <w:rtl w:val="true"/>
        </w:rPr>
        <w:t>עוד טענה התובעת שהתיק המצורף כולל עבירות חמורות של הפרעה לשוטרים והעלבת עובדי ציבור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 להחמיר עם הנאשם ולהטיל עליו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ממושך ומרתיע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הסניגורית הפנתה לנתוניו האישיים של הנאשם ולעברו הפלילי הנקי וביקשה לאמץ את מסקנות שירות המבחן</w:t>
      </w:r>
      <w:r>
        <w:rPr>
          <w:rtl w:val="true"/>
        </w:rPr>
        <w:t xml:space="preserve">. </w:t>
      </w:r>
      <w:r>
        <w:rPr>
          <w:rtl w:val="true"/>
        </w:rPr>
        <w:t>הסניגורית הגישה המלצות ממפקדי הנאשם בצבא וכן מסמך מחברה שהנאשם משמש עבורה קבלן משנה במתקן בטחוני</w:t>
      </w:r>
      <w:r>
        <w:rPr>
          <w:rtl w:val="true"/>
        </w:rPr>
        <w:t xml:space="preserve">, </w:t>
      </w:r>
      <w:r>
        <w:rPr>
          <w:rtl w:val="true"/>
        </w:rPr>
        <w:t>וטענה שהרשעת הנאשם  עלולה לגרום לסיום עבודתו בפרוייקטים במתקן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עוד טענה הסניגורית כי בשנים האחרונות פחתה חומרת עבירת החזקת הנשק שכן</w:t>
      </w:r>
      <w:r>
        <w:rPr>
          <w:rtl w:val="true"/>
        </w:rPr>
        <w:t xml:space="preserve">, </w:t>
      </w:r>
      <w:r>
        <w:rPr>
          <w:rtl w:val="true"/>
        </w:rPr>
        <w:t>לפי הסטטיסטיקה של המשטרה חלה ירידה בעבירות מסוג זה בגלל מודעות החיילים לחובתם להשבת נשק זה</w:t>
      </w:r>
      <w:r>
        <w:rPr>
          <w:rtl w:val="true"/>
        </w:rPr>
        <w:t xml:space="preserve">. </w:t>
      </w:r>
      <w:r>
        <w:rPr>
          <w:rtl w:val="true"/>
        </w:rPr>
        <w:t>בהקשר זה טענה הסניגורית כי הנאשם נורמטיבי שבצע עבירה זו מתוך שכחה והוא מבטא חרטה עמוקה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ביקשה בהטלת מאסר מותנה במידה ובית המשפט יחליט להרשיע את הנאשם 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הנאשם עצמו נשא דברים בפני וטען שמדובר בהתנהגות חריגה לו וכי ההרשעה תפגע בעיסוקו כקבלנן משנה באתרים ביטחוניים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הרשעה או אי הרשעה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rtl w:val="true"/>
        </w:rPr>
        <w:t>בסיום ההליך הפלילי ולאחר שהוכחה אשמתו</w:t>
      </w:r>
      <w:r>
        <w:rPr>
          <w:rtl w:val="true"/>
        </w:rPr>
        <w:t xml:space="preserve">, </w:t>
      </w:r>
      <w:r>
        <w:rPr>
          <w:rtl w:val="true"/>
        </w:rPr>
        <w:t>הכלל הוא הרשעת הנאשם</w:t>
      </w:r>
      <w:r>
        <w:rPr>
          <w:rtl w:val="true"/>
        </w:rPr>
        <w:t xml:space="preserve">. </w:t>
      </w:r>
      <w:r>
        <w:rPr>
          <w:rtl w:val="true"/>
        </w:rPr>
        <w:t>רק נסיבות חריגות ויוצאות דופן מצדיקות במקרים מיוחדים הימנעות ממנה</w:t>
      </w:r>
      <w:r>
        <w:rPr>
          <w:rtl w:val="true"/>
        </w:rPr>
        <w:t xml:space="preserve">, </w:t>
      </w:r>
      <w:r>
        <w:rPr>
          <w:rtl w:val="true"/>
        </w:rPr>
        <w:t>המבחנים להימנעות מהרשעה נקבעו למעשה 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תמר כתב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 ישראל 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337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 </w:t>
      </w:r>
    </w:p>
    <w:p>
      <w:pPr>
        <w:pStyle w:val="BodyText2"/>
        <w:spacing w:before="120" w:after="120"/>
        <w:ind w:start="566" w:end="900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הימנעות מהרשעה אפשרית אפוא בהצטבר שני גורמים 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ההרשעה לפגוע פגיעה חמורה בשיקום הנאשם</w:t>
      </w:r>
      <w:r>
        <w:rPr>
          <w:b/>
          <w:bCs/>
          <w:rtl w:val="true"/>
        </w:rPr>
        <w:t xml:space="preserve">;  </w:t>
      </w:r>
      <w:r>
        <w:rPr>
          <w:b/>
          <w:b/>
          <w:bCs/>
          <w:rtl w:val="true"/>
        </w:rPr>
        <w:t>ושנית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סוג העבירה מאפשר לוותר </w:t>
      </w:r>
    </w:p>
    <w:p>
      <w:pPr>
        <w:pStyle w:val="BodyText2"/>
        <w:spacing w:before="120" w:after="120"/>
        <w:ind w:start="566" w:end="900"/>
        <w:jc w:val="start"/>
        <w:rPr>
          <w:b/>
          <w:bCs/>
        </w:rPr>
      </w:pPr>
      <w:r>
        <w:rPr>
          <w:b/>
          <w:b/>
          <w:bCs/>
          <w:rtl w:val="true"/>
        </w:rPr>
        <w:t>בנסיבות המקרה המסוים על ההרשעה מבלי לפגוע באופן מהותי בשיקולי הענישה האחרים המפורטים לעיל</w:t>
      </w:r>
      <w:r>
        <w:rPr>
          <w:b/>
          <w:bCs/>
          <w:rtl w:val="true"/>
        </w:rPr>
        <w:t>".</w:t>
      </w:r>
    </w:p>
    <w:p>
      <w:pPr>
        <w:pStyle w:val="Style11"/>
        <w:spacing w:lineRule="exact" w:line="320" w:before="0" w:after="80"/>
        <w:ind w:end="0"/>
        <w:jc w:val="both"/>
        <w:rPr/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בב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432/85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רומנו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תקדין</w:t>
      </w:r>
      <w:r>
        <w:rPr>
          <w:rtl w:val="true"/>
        </w:rPr>
        <w:t>-</w:t>
      </w:r>
      <w:r>
        <w:rPr>
          <w:rtl w:val="true"/>
        </w:rPr>
        <w:t xml:space="preserve">עליון </w:t>
      </w:r>
      <w:r>
        <w:rPr/>
        <w:t>85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737</w:t>
      </w:r>
      <w:r>
        <w:rPr>
          <w:rtl w:val="true"/>
        </w:rPr>
        <w:t xml:space="preserve">) </w:t>
      </w:r>
      <w:r>
        <w:rPr>
          <w:rtl w:val="true"/>
        </w:rPr>
        <w:t>נאמר מפי כב</w:t>
      </w:r>
      <w:r>
        <w:rPr>
          <w:rtl w:val="true"/>
        </w:rPr>
        <w:t xml:space="preserve">' </w:t>
      </w:r>
      <w:r>
        <w:rPr>
          <w:rtl w:val="true"/>
        </w:rPr>
        <w:t xml:space="preserve">הנשיא שמגר </w:t>
      </w:r>
      <w:r>
        <w:rPr>
          <w:rtl w:val="true"/>
        </w:rPr>
        <w:t>(</w:t>
      </w:r>
      <w:r>
        <w:rPr>
          <w:rtl w:val="true"/>
        </w:rPr>
        <w:t>כתארו אז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Style11"/>
        <w:spacing w:lineRule="exact" w:line="320" w:before="0" w:after="80"/>
        <w:ind w:end="851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 xml:space="preserve">לא ניתן לקבוע דפוסים נוקשים ומוגדרים מראש אימתי ישתמש בית המשפט בסמכותו להטיל מבחן </w:t>
      </w:r>
      <w:r>
        <w:fldChar w:fldCharType="begin"/>
      </w:r>
      <w:r>
        <w:rPr>
          <w:rtl w:val="true"/>
          <w:rStyle w:val="Hyperlink"/>
          <w:sz w:val="22"/>
          <w:b/>
          <w:szCs w:val="24"/>
          <w:bCs/>
        </w:rPr>
        <w:instrText xml:space="preserve"> HYPERLINK "http://www.nevo.co.il/mark01/" \l "TQL05"</w:instrText>
      </w:r>
      <w:r>
        <w:rPr>
          <w:rtl w:val="true"/>
          <w:rStyle w:val="Hyperlink"/>
          <w:sz w:val="22"/>
          <w:b/>
          <w:szCs w:val="24"/>
          <w:bCs/>
        </w:rPr>
        <w:fldChar w:fldCharType="separate"/>
      </w:r>
      <w:r>
        <w:rPr>
          <w:rStyle w:val="Hyperlink"/>
          <w:b/>
          <w:b/>
          <w:bCs/>
          <w:sz w:val="22"/>
          <w:sz w:val="22"/>
          <w:szCs w:val="24"/>
          <w:rtl w:val="true"/>
        </w:rPr>
        <w:t>ללא</w:t>
      </w:r>
      <w:r>
        <w:rPr>
          <w:rtl w:val="true"/>
          <w:rStyle w:val="Hyperlink"/>
          <w:sz w:val="22"/>
          <w:b/>
          <w:szCs w:val="24"/>
          <w:bCs/>
        </w:rPr>
        <w:fldChar w:fldCharType="end"/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2"/>
          <w:b/>
          <w:szCs w:val="24"/>
          <w:bCs/>
        </w:rPr>
        <w:instrText xml:space="preserve"> HYPERLINK "http://www.nevo.co.il/mark01/" \l "TQL06"</w:instrText>
      </w:r>
      <w:r>
        <w:rPr>
          <w:rtl w:val="true"/>
          <w:rStyle w:val="Hyperlink"/>
          <w:sz w:val="22"/>
          <w:b/>
          <w:szCs w:val="24"/>
          <w:bCs/>
        </w:rPr>
        <w:fldChar w:fldCharType="separate"/>
      </w:r>
      <w:r>
        <w:rPr>
          <w:rStyle w:val="Hyperlink"/>
          <w:b/>
          <w:b/>
          <w:bCs/>
          <w:sz w:val="22"/>
          <w:sz w:val="22"/>
          <w:szCs w:val="24"/>
          <w:rtl w:val="true"/>
        </w:rPr>
        <w:t>הרשעה</w:t>
      </w:r>
      <w:r>
        <w:rPr>
          <w:rtl w:val="true"/>
          <w:rStyle w:val="Hyperlink"/>
          <w:sz w:val="22"/>
          <w:b/>
          <w:szCs w:val="24"/>
          <w:bCs/>
        </w:rPr>
        <w:fldChar w:fldCharType="end"/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כל שהמחוקק יכול היה לקבוע לענין זה הוא מניינם של הנתונים העיקריים אשר אותם רשאי בית המשפט להביא בחשבון והם נסיבות הענין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ובכללם אופיו של הנאשם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עברו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גילו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תנאיו בביתו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בריאותו הגופנית ומצבו השכלי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טיב העבירה שעבר וכל נסיבה מקילה אחרת</w:t>
      </w:r>
      <w:r>
        <w:rPr>
          <w:b/>
          <w:bCs/>
          <w:sz w:val="22"/>
          <w:szCs w:val="24"/>
          <w:rtl w:val="true"/>
        </w:rPr>
        <w:t>".</w:t>
      </w:r>
    </w:p>
    <w:p>
      <w:pPr>
        <w:pStyle w:val="Normal"/>
        <w:bidi w:val="0"/>
        <w:jc w:val="start"/>
        <w:rPr>
          <w:lang w:eastAsia="he-IL"/>
        </w:rPr>
      </w:pPr>
      <w:r>
        <w:rPr>
          <w:rStyle w:val="Hyperlink"/>
          <w:sz w:val="22"/>
        </w:rPr>
        <w:t> </w:t>
      </w:r>
      <w:r>
        <w:rPr>
          <w:rFonts w:cs="David"/>
        </w:rPr>
        <w:t xml:space="preserve"> </w:t>
      </w:r>
    </w:p>
    <w:p>
      <w:pPr>
        <w:pStyle w:val="Normal"/>
        <w:spacing w:before="0" w:after="120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2513/96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3467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 ישראל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שמש ואח</w:t>
        </w:r>
        <w:r>
          <w:rPr>
            <w:rStyle w:val="Hyperlink"/>
            <w:color w:val="0000FF"/>
            <w:u w:val="single"/>
            <w:rtl w:val="true"/>
          </w:rPr>
          <w:t xml:space="preserve">' 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נ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682</w:t>
      </w:r>
      <w:r>
        <w:rPr>
          <w:rtl w:val="true"/>
        </w:rPr>
        <w:t xml:space="preserve">, </w:t>
      </w:r>
      <w:r>
        <w:rPr>
          <w:rtl w:val="true"/>
        </w:rPr>
        <w:t>קבע בית המשפט העליון כי</w:t>
      </w:r>
      <w:r>
        <w:rPr>
          <w:rtl w:val="true"/>
        </w:rPr>
        <w:t xml:space="preserve">: </w:t>
      </w:r>
    </w:p>
    <w:p>
      <w:pPr>
        <w:pStyle w:val="Style11"/>
        <w:spacing w:lineRule="exact" w:line="320" w:before="0" w:after="80"/>
        <w:ind w:end="851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שורת הדין מחייבת כי מי שהובא לדין ונמצא אשם יורשע בעבירות שיוחסו לו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זהו הכלל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הסמכות הנתונה לבית המשפט להסתפק בהעמדת הנאשם במבחן בלי להרשיעו בדין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יפה למקרים מיוחדים ויוצאי דופן</w:t>
      </w:r>
      <w:r>
        <w:rPr>
          <w:b/>
          <w:bCs/>
          <w:sz w:val="22"/>
          <w:szCs w:val="24"/>
          <w:rtl w:val="true"/>
        </w:rPr>
        <w:t xml:space="preserve">". 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מן הכלל אל הפרט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הנאשם הורשע  בעבירות המיוחסות לו בתיק זה ובתיק המצורף ברם</w:t>
      </w:r>
      <w:r>
        <w:rPr>
          <w:rtl w:val="true"/>
        </w:rPr>
        <w:t xml:space="preserve">, </w:t>
      </w:r>
      <w:r>
        <w:rPr>
          <w:rtl w:val="true"/>
        </w:rPr>
        <w:t>שירות המבחן המליץ בתסקירו על אי הרשעת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אפתח ואומר כבר כעת כי הגעתי לכלל מסקנה</w:t>
      </w:r>
      <w:r>
        <w:rPr>
          <w:rtl w:val="true"/>
        </w:rPr>
        <w:t xml:space="preserve">, </w:t>
      </w:r>
      <w:r>
        <w:rPr>
          <w:rtl w:val="true"/>
        </w:rPr>
        <w:t>לאור חומרת העבירות נשוא תיק זה והתיק המצורף</w:t>
      </w:r>
      <w:r>
        <w:rPr>
          <w:rtl w:val="true"/>
        </w:rPr>
        <w:t xml:space="preserve">, </w:t>
      </w:r>
      <w:r>
        <w:rPr>
          <w:rtl w:val="true"/>
        </w:rPr>
        <w:t>גובר האינטרס הציבורי והצורך בהרתעת היחיד והרבים ועל כן אין מקום להימנע מהרשעתו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המלצתו של שירות המבחן הינה לעולם בגדר המלצה</w:t>
      </w:r>
      <w:r>
        <w:rPr>
          <w:rtl w:val="true"/>
        </w:rPr>
        <w:t xml:space="preserve">, </w:t>
      </w:r>
      <w:r>
        <w:rPr>
          <w:rtl w:val="true"/>
        </w:rPr>
        <w:t>כאשר שירות המבחן רואה לנגד עיניו את האינטרס הטמון בשיקומו של הנאשם</w:t>
      </w:r>
      <w:r>
        <w:rPr>
          <w:rtl w:val="true"/>
        </w:rPr>
        <w:t xml:space="preserve">, </w:t>
      </w:r>
      <w:r>
        <w:rPr>
          <w:rtl w:val="true"/>
        </w:rPr>
        <w:t>ובית המשפט לבדו הוא האמון על האיזון הנכון</w:t>
      </w:r>
      <w:r>
        <w:rPr>
          <w:rtl w:val="true"/>
        </w:rPr>
        <w:t xml:space="preserve">, </w:t>
      </w:r>
      <w:r>
        <w:rPr>
          <w:rtl w:val="true"/>
        </w:rPr>
        <w:t>בין הפן ההרתעתי והאינטרס הציבורי</w:t>
      </w:r>
      <w:r>
        <w:rPr>
          <w:rtl w:val="true"/>
        </w:rPr>
        <w:t xml:space="preserve">, </w:t>
      </w:r>
      <w:r>
        <w:rPr>
          <w:rtl w:val="true"/>
        </w:rPr>
        <w:t>ונסיבותיו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הפן השיקומי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כפי שקבע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שמגר </w:t>
      </w:r>
      <w:r>
        <w:rPr>
          <w:rtl w:val="true"/>
        </w:rPr>
        <w:t>(</w:t>
      </w:r>
      <w:r>
        <w:rPr>
          <w:rtl w:val="true"/>
        </w:rPr>
        <w:t>כתוארו דאז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344/81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 xml:space="preserve">סגל 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שיקוליו של שירות המבחן למבוגרים אינם חופפים בהכרח את שיקוליו של בית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 שהוא אינו מופקד על הראייה הכוללת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הבוחנת גם את אלמנט ההרתעה הכללי ונתונים כיוצא באלה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לבוא בטרוניה אל שירות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הוא נותן דעתו בעיקר לאינטרס האישי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 מוכן להציע הצעות לשיקום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המעוגנות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בהערכה ובהתרשמות ותו 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השירות רואה את עיקר מעייניו במיצויו של היבט מוגדר של הנתונים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הנאספים לקראת ההכרעה השיפוטית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 המשפט הוא שיוצר את האיזון הנאות בין הנתונים השונים ומופקד על ראייתו של השלם להבדיל מן הקטע או המקוטע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זהו המקום לצטט דבריה של כב</w:t>
      </w:r>
      <w:r>
        <w:rPr>
          <w:rtl w:val="true"/>
        </w:rPr>
        <w:t xml:space="preserve">' </w:t>
      </w:r>
      <w:r>
        <w:rPr>
          <w:rtl w:val="true"/>
        </w:rPr>
        <w:t>השופטת חיות ב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5176/03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ציון סוריאנו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2003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2255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עמדת שירות המבחן אינה אלא אחד השיקולים העומדים בפני בית המשפט בגוזרו את 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ועליו מוטלת החובה לערוך את האיזונים הנדרשים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לעיתים יקבל את עמדת שירות המבחן ולעיתים ידחה אותה</w:t>
      </w:r>
      <w:r>
        <w:rPr>
          <w:b/>
          <w:bCs/>
          <w:rtl w:val="true"/>
        </w:rPr>
        <w:t>" 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תסקיר שירות המבחן מיום </w:t>
      </w:r>
      <w:r>
        <w:rPr/>
        <w:t>7/4/09</w:t>
      </w:r>
      <w:r>
        <w:rPr>
          <w:rtl w:val="true"/>
        </w:rPr>
        <w:t xml:space="preserve"> </w:t>
      </w:r>
      <w:r>
        <w:rPr>
          <w:rtl w:val="true"/>
        </w:rPr>
        <w:t xml:space="preserve">התייחס לעבירת החזקת הנשק המיוחסת לנאשם בתיק זה ולא התייחס לתיק שצורף מאוחר יותר בדיון מיום </w:t>
      </w:r>
      <w:r>
        <w:rPr/>
        <w:t>15/7/09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באשר לעבירת החזקת הנשק</w:t>
      </w:r>
      <w:r>
        <w:rPr>
          <w:rtl w:val="true"/>
        </w:rPr>
        <w:t xml:space="preserve">, </w:t>
      </w:r>
      <w:r>
        <w:rPr>
          <w:rtl w:val="true"/>
        </w:rPr>
        <w:t>הנאשם טען שעבירה זו נבעה משכחה</w:t>
      </w:r>
      <w:r>
        <w:rPr>
          <w:rtl w:val="true"/>
        </w:rPr>
        <w:t xml:space="preserve">. </w:t>
      </w:r>
      <w:r>
        <w:rPr>
          <w:rtl w:val="true"/>
        </w:rPr>
        <w:t xml:space="preserve">טענה זו אינה מקובלת עלי שכן שירותו הצבאי של הנאשם הסתיים בשנת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 xml:space="preserve">והנשק נתפס ביום </w:t>
      </w:r>
      <w:r>
        <w:rPr/>
        <w:t>30/9/07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שאם הנאשם </w:t>
      </w:r>
      <w:r>
        <w:rPr>
          <w:rtl w:val="true"/>
        </w:rPr>
        <w:t>"</w:t>
      </w:r>
      <w:r>
        <w:rPr>
          <w:rtl w:val="true"/>
        </w:rPr>
        <w:t>שכח</w:t>
      </w:r>
      <w:r>
        <w:rPr>
          <w:rtl w:val="true"/>
        </w:rPr>
        <w:t xml:space="preserve">" </w:t>
      </w:r>
      <w:r>
        <w:rPr>
          <w:rtl w:val="true"/>
        </w:rPr>
        <w:t>את הנשק היה באפשרותו להחזירו תוך פרק זמן ארוך זה אך</w:t>
      </w:r>
      <w:r>
        <w:rPr>
          <w:rtl w:val="true"/>
        </w:rPr>
        <w:t xml:space="preserve">, </w:t>
      </w:r>
      <w:r>
        <w:rPr>
          <w:rtl w:val="true"/>
        </w:rPr>
        <w:t>הנאשם בחר לא לעשות כן</w:t>
      </w:r>
      <w:r>
        <w:rPr>
          <w:rtl w:val="true"/>
        </w:rPr>
        <w:t xml:space="preserve">. </w:t>
      </w:r>
      <w:r>
        <w:rPr>
          <w:rtl w:val="true"/>
        </w:rPr>
        <w:t>הסניגורית סמכה את ידה על הנתונים שמלמדים על הירידה בעבירות מסוג זה ועל העלייה במודעות החיילים המשוחררים לחובת השבת הציוד הצבאי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דומני כי עובדה זו דווקא פועלת לחובת הנאשם שכן</w:t>
      </w:r>
      <w:r>
        <w:rPr>
          <w:rtl w:val="true"/>
        </w:rPr>
        <w:t xml:space="preserve">, </w:t>
      </w:r>
      <w:r>
        <w:rPr>
          <w:rtl w:val="true"/>
        </w:rPr>
        <w:t>שחרף העלייה במודעות לחובת השבת הציוד וחרף הפרסומים הרבים להחזיר ציוד גנוב</w:t>
      </w:r>
      <w:r>
        <w:rPr>
          <w:rtl w:val="true"/>
        </w:rPr>
        <w:t xml:space="preserve">, </w:t>
      </w:r>
      <w:r>
        <w:rPr>
          <w:rtl w:val="true"/>
        </w:rPr>
        <w:t>המשיך הנאשם להחזיק בו 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יש לזכור עוד כי מלכתחילה לא היה מקום להחזיק נשק צבאי בבית</w:t>
      </w:r>
      <w:r>
        <w:rPr>
          <w:rtl w:val="true"/>
        </w:rPr>
        <w:t xml:space="preserve">. </w:t>
      </w:r>
      <w:r>
        <w:rPr>
          <w:rtl w:val="true"/>
        </w:rPr>
        <w:t>בשום שלב לא החזיק הנאשם את הנשק בבית באופן חוקי</w:t>
      </w:r>
      <w:r>
        <w:rPr>
          <w:rtl w:val="true"/>
        </w:rPr>
        <w:t xml:space="preserve">, </w:t>
      </w:r>
      <w:r>
        <w:rPr>
          <w:rtl w:val="true"/>
        </w:rPr>
        <w:t>גם בעת שירותו הצבאי</w:t>
      </w:r>
      <w:r>
        <w:rPr>
          <w:rtl w:val="true"/>
        </w:rPr>
        <w:t xml:space="preserve">. </w:t>
      </w:r>
      <w:r>
        <w:rPr>
          <w:rtl w:val="true"/>
        </w:rPr>
        <w:t>חיילים לא אמורים להחזיק רימונים ופצצות מחוץ לבסיסם</w:t>
      </w:r>
      <w:r>
        <w:rPr>
          <w:rtl w:val="true"/>
        </w:rPr>
        <w:t xml:space="preserve">, </w:t>
      </w:r>
      <w:r>
        <w:rPr>
          <w:rtl w:val="true"/>
        </w:rPr>
        <w:t>חיילים לא אמורים להחזיק מחסניות עודפות בבית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קשה לקבל את הטענה לפיה </w:t>
      </w:r>
      <w:r>
        <w:rPr>
          <w:rtl w:val="true"/>
        </w:rPr>
        <w:t>"</w:t>
      </w:r>
      <w:r>
        <w:rPr>
          <w:rtl w:val="true"/>
        </w:rPr>
        <w:t>שכח</w:t>
      </w:r>
      <w:r>
        <w:rPr>
          <w:rtl w:val="true"/>
        </w:rPr>
        <w:t xml:space="preserve">" </w:t>
      </w:r>
      <w:r>
        <w:rPr>
          <w:rtl w:val="true"/>
        </w:rPr>
        <w:t xml:space="preserve">את הנשק בבית כאשר מלכתחילה הנשק </w:t>
      </w:r>
      <w:r>
        <w:rPr>
          <w:u w:val="single"/>
          <w:rtl w:val="true"/>
        </w:rPr>
        <w:t>הוחזק בבית שלא כדין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גם בעת שירותו הצבאי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העבירות שהודה הנאשם בביצוען בתיק המצורף הנן חמורת</w:t>
      </w:r>
      <w:r>
        <w:rPr>
          <w:rtl w:val="true"/>
        </w:rPr>
        <w:t xml:space="preserve">. </w:t>
      </w:r>
      <w:r>
        <w:rPr>
          <w:rtl w:val="true"/>
        </w:rPr>
        <w:t>הנאשם העליב שוטרים והפריע להם במילוי תפקידם</w:t>
      </w:r>
      <w:r>
        <w:rPr>
          <w:rtl w:val="true"/>
        </w:rPr>
        <w:t xml:space="preserve">. </w:t>
      </w:r>
      <w:r>
        <w:rPr>
          <w:rtl w:val="true"/>
        </w:rPr>
        <w:t>פגיעה זו בשליחי הציבור ובשוטרים האמונים על אכיפת החוק טומנת בחובה פגיעה מובהקת בסדר הציבורי</w:t>
      </w:r>
      <w:r>
        <w:rPr>
          <w:rtl w:val="true"/>
        </w:rPr>
        <w:t xml:space="preserve">, </w:t>
      </w:r>
      <w:r>
        <w:rPr>
          <w:rtl w:val="true"/>
        </w:rPr>
        <w:t>על כן הימנעות מהרשעה במקרה זה תפגע פגיעה מובהקת באינטרס 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סבורני כי סוג העבירות בהן מואשם הנאשם בתיק זה ובתיק המצורף</w:t>
      </w:r>
      <w:r>
        <w:rPr>
          <w:rtl w:val="true"/>
        </w:rPr>
        <w:t xml:space="preserve">- </w:t>
      </w:r>
      <w:r>
        <w:rPr>
          <w:rtl w:val="true"/>
        </w:rPr>
        <w:t>אינו מאפשר לוותר על הרשעה מבלי לפגוע בשיקולי הענישה האחרים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ייתכן</w:t>
      </w:r>
      <w:r>
        <w:rPr>
          <w:rtl w:val="true"/>
        </w:rPr>
        <w:t xml:space="preserve">, </w:t>
      </w:r>
      <w:r>
        <w:rPr>
          <w:rtl w:val="true"/>
        </w:rPr>
        <w:t>ותיגרם לנאשם פגיעה בעיסוקו אך</w:t>
      </w:r>
      <w:r>
        <w:rPr>
          <w:rtl w:val="true"/>
        </w:rPr>
        <w:t xml:space="preserve">, </w:t>
      </w:r>
      <w:r>
        <w:rPr>
          <w:rtl w:val="true"/>
        </w:rPr>
        <w:t>מידת פגיעה זו לא ברורה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במסמך שהציג הנאשם מחברה הקבלנית שמעסיקה אותו צויין שהרשעתו </w:t>
      </w:r>
      <w:r>
        <w:rPr>
          <w:rtl w:val="true"/>
        </w:rPr>
        <w:t>"</w:t>
      </w:r>
      <w:r>
        <w:rPr>
          <w:rtl w:val="true"/>
        </w:rPr>
        <w:t>עלולה</w:t>
      </w:r>
      <w:r>
        <w:rPr>
          <w:rtl w:val="true"/>
        </w:rPr>
        <w:t xml:space="preserve">" </w:t>
      </w:r>
      <w:r>
        <w:rPr>
          <w:rtl w:val="true"/>
        </w:rPr>
        <w:t>לגרום לסיום עבודתו בפרוייקטים של משרד הביטחון</w:t>
      </w:r>
      <w:r>
        <w:rPr>
          <w:rtl w:val="true"/>
        </w:rPr>
        <w:t xml:space="preserve">. </w:t>
      </w:r>
      <w:r>
        <w:rPr>
          <w:rtl w:val="true"/>
        </w:rPr>
        <w:t>ממסמך זה לא עולה כי הנאשם יאבד מקור עיסוקו</w:t>
      </w:r>
      <w:r>
        <w:rPr>
          <w:rtl w:val="true"/>
        </w:rPr>
        <w:t xml:space="preserve">, </w:t>
      </w:r>
      <w:r>
        <w:rPr>
          <w:rtl w:val="true"/>
        </w:rPr>
        <w:t>וברי כי הנאשם יכול להמשיך ולעבוד כקבלן אלומניום במגזר הפרטי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גם אם קיימת פגיעה כלשהי בעיסוקו של הנאשם הרי לא ניתן לפסוח על הרשעת הנאשם בשל חומרת העבירות המיוחסות לו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 xml:space="preserve"> </w:t>
      </w:r>
      <w:r>
        <w:rPr>
          <w:rtl w:val="true"/>
        </w:rPr>
        <w:t>לאחר ששקלתי את כל הנסיבות והטיעונים שפורטו לעיל</w:t>
      </w:r>
      <w:r>
        <w:rPr>
          <w:rtl w:val="true"/>
        </w:rPr>
        <w:t xml:space="preserve">, </w:t>
      </w:r>
      <w:r>
        <w:rPr>
          <w:rtl w:val="true"/>
        </w:rPr>
        <w:t>ובהתחשב באמות המידה שנקבעו בפסיקה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שוכנעתי כי מתקיימות בפרשה שלפנינו </w:t>
      </w:r>
      <w:r>
        <w:rPr>
          <w:rtl w:val="true"/>
        </w:rPr>
        <w:t>"</w:t>
      </w:r>
      <w:r>
        <w:rPr>
          <w:b/>
          <w:b/>
          <w:bCs/>
          <w:rtl w:val="true"/>
        </w:rPr>
        <w:t>נסיבות מיוחדות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חריגות ויוצאות דופן ביותר</w:t>
      </w:r>
      <w:r>
        <w:rPr>
          <w:rtl w:val="true"/>
        </w:rPr>
        <w:t xml:space="preserve">" </w:t>
      </w:r>
      <w:r>
        <w:rPr>
          <w:rtl w:val="true"/>
        </w:rPr>
        <w:t>המצדיקות סטייה מן הכלל שלפיו מי שהובא לדין ונמצא אשם</w:t>
      </w:r>
      <w:r>
        <w:rPr>
          <w:rtl w:val="true"/>
        </w:rPr>
        <w:t xml:space="preserve">, </w:t>
      </w:r>
      <w:r>
        <w:rPr>
          <w:rtl w:val="true"/>
        </w:rPr>
        <w:t>יורשע בעבירות שיוחסו לו</w:t>
      </w:r>
      <w:r>
        <w:rPr>
          <w:rtl w:val="true"/>
        </w:rPr>
        <w:t xml:space="preserve">. </w:t>
      </w:r>
      <w:r>
        <w:rPr>
          <w:rtl w:val="true"/>
        </w:rPr>
        <w:t>כמו כן לא מצאתי כי מתקיים כאן יחס בלתי סביר בין הנזק הצפוי למבקש מהרשעתו לבין חומרת העבירות שעבר ומסקנתי היא כי אין מקום להימנע מהרשעתו של הנאשם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 </w:t>
      </w:r>
      <w:r>
        <w:rPr>
          <w:rtl w:val="true"/>
        </w:rPr>
        <w:t>אני מתיר את הרשעת הנאשם על כנה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הן בעבירות של החזקת נשק והן בעבירות העלבת עובד ציבור והפרעה לשוטרים</w:t>
      </w:r>
      <w:r>
        <w:rPr>
          <w:rtl w:val="true"/>
        </w:rPr>
        <w:t xml:space="preserve">, </w:t>
      </w:r>
      <w:r>
        <w:rPr>
          <w:rtl w:val="true"/>
        </w:rPr>
        <w:t>האינטרס הציבורי מחייב להעניש את העבריינים בצורה מרתיעה כדי למנוע הישנותם של המעשים אשר הפכו נפוצים ושיטתיים ופוגעים בציבור הרחב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יש לאזן תמיד את האינטרס הכללי עם נסיבותיו האישיות של כל נאשם באשר הוא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לזכותו של הנאשם בתיק נזקפת העובדה כי הוא הודה בעבירות שיוחסו לו בתיק זה ובתיק המצורף ובכך</w:t>
      </w:r>
      <w:r>
        <w:rPr>
          <w:rtl w:val="true"/>
        </w:rPr>
        <w:t xml:space="preserve">, </w:t>
      </w:r>
      <w:r>
        <w:rPr>
          <w:rtl w:val="true"/>
        </w:rPr>
        <w:t>חסך זמן שיפוטי יקר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066" w:leader="none"/>
        </w:tabs>
        <w:spacing w:lineRule="auto" w:line="360" w:before="0" w:after="12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לזכות הנאשם עבר פלילי נקי והעובדה כי הוא מנהל אורח חיים נורמטיבי והנו בעל פוטנציאל 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לאחר שנתתי דעתי לטענות הצדדים ולאמור בתסקיר שרות 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 מטיל על הנאשם את העונש הבא</w:t>
      </w:r>
      <w:r>
        <w:rPr>
          <w:sz w:val="22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 על הנאשם מאסר על תנאי של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 xml:space="preserve">חודשים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 יעבור כל עבירת אלימות פיזית כלפי ממלא תפקיד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 כל עבירה שיש בה החזקת נשק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דן את הנאשם לקנס בסך </w:t>
      </w:r>
      <w:r>
        <w:rPr>
          <w:b/>
          <w:bCs/>
        </w:rPr>
        <w:t>4000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ח או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תשלום ראשון בעוד חודש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במידה ולא ישולם תשלום אחד מבין התשלומים</w:t>
      </w:r>
      <w:r>
        <w:rPr>
          <w:rtl w:val="true"/>
        </w:rPr>
        <w:t xml:space="preserve">, </w:t>
      </w:r>
      <w:r>
        <w:rPr>
          <w:rtl w:val="true"/>
        </w:rPr>
        <w:t>יעמוד כל הקנס לפירעון מידי</w:t>
      </w:r>
      <w:r>
        <w:rPr>
          <w:rtl w:val="true"/>
        </w:rPr>
        <w:t xml:space="preserve">. </w:t>
      </w:r>
      <w:r>
        <w:rPr>
          <w:rtl w:val="true"/>
        </w:rPr>
        <w:t>במידה והופקד פיקדון</w:t>
      </w:r>
      <w:r>
        <w:rPr>
          <w:rtl w:val="true"/>
        </w:rPr>
        <w:t xml:space="preserve">, </w:t>
      </w:r>
      <w:r>
        <w:rPr>
          <w:rtl w:val="true"/>
        </w:rPr>
        <w:t>יש לקזזו עם הקנס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לבית משפט המחוזי בנצרת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אב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09/08/2009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David"/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rFonts w:cs="David"/>
                <w:b/>
                <w:bCs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מרטין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פרץ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hyperlink r:id="rId11">
        <w:r>
          <w:rPr>
            <w:rStyle w:val="Hyperlink"/>
            <w:rtl w:val="true"/>
          </w:rPr>
          <w:t>הודעה למנויים על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 xml:space="preserve">חקיקה ועוד באתר נבו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הקש כאן</w:t>
        </w:r>
      </w:hyperlink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/Users/liorb/Downloads/study2025-p2/SH-08-07-1390-801.doc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1390-07-08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נדב זהרי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390-07-08"/>
    <w:docVar w:name="caseId" w:val="7006340"/>
    <w:docVar w:name="deriveClass" w:val="NGCS.Protocol.BL.Client.ProtocolBLClientCriminal"/>
    <w:docVar w:name="firstPageNumber" w:val="9"/>
    <w:docVar w:name="MyInfo" w:val="This document was extracted from Nevo's site"/>
    <w:docVar w:name="NGCS.caseInterestID" w:val="-1"/>
    <w:docVar w:name="NGCS.caseTypeID" w:val="-1"/>
    <w:docVar w:name="NGCS.courtID" w:val="17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015304074@GOV.IL"/>
    <w:docVar w:name="privellegeId" w:val="1"/>
    <w:docVar w:name="protocolId" w:val="415907"/>
    <w:docVar w:name="releaseSign" w:val="0"/>
    <w:docVar w:name="sittingDateTime" w:val="09/08/2009 09:00     "/>
    <w:docVar w:name="sittingId" w:val="1567302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8z0">
    <w:name w:val="WW8Num18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" w:hAnsi="Times New Roman" w:eastAsia="Times New Roman" w:cs="Times New Roman"/>
    </w:rPr>
  </w:style>
  <w:style w:type="paragraph" w:styleId="Style11">
    <w:name w:val="ציטוט"/>
    <w:basedOn w:val="Normal"/>
    <w:qFormat/>
    <w:pPr>
      <w:overflowPunct w:val="false"/>
      <w:ind w:hanging="0" w:start="851" w:end="851"/>
      <w:jc w:val="both"/>
    </w:pPr>
    <w:rPr>
      <w:rFonts w:ascii="Times New Roman" w:hAnsi="Times New Roman" w:eastAsia="Times New Roman" w:cs="Times New Roman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14;&#1508;%202653/07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links/psika/?link=&#1506;&#1508;%202083/96&amp;Pvol=&#1504;&#1489;" TargetMode="External"/><Relationship Id="rId7" Type="http://schemas.openxmlformats.org/officeDocument/2006/relationships/hyperlink" Target="http://www.nevo.co.il/links/psika/?link=&#1512;&#1506;&#1508;%20432/85" TargetMode="External"/><Relationship Id="rId8" Type="http://schemas.openxmlformats.org/officeDocument/2006/relationships/hyperlink" Target="http://www.nevo.co.il/links/psika/?link=&#1506;&#1508;%202513/96&amp;Pvol=&#1504;" TargetMode="External"/><Relationship Id="rId9" Type="http://schemas.openxmlformats.org/officeDocument/2006/relationships/hyperlink" Target="http://www.nevo.co.il/links/psika/?link=&#1506;&#1508;%20344/81&amp;Pvol=&#1500;&#1492;" TargetMode="External"/><Relationship Id="rId10" Type="http://schemas.openxmlformats.org/officeDocument/2006/relationships/hyperlink" Target="http://www.nevo.co.il/links/psika/?link=&#1512;&#1506;&#1508;%205176/03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2009-08-09T20:56:00Z</dcterms:created>
  <dc:creator> </dc:creator>
  <dc:description/>
  <cp:keywords/>
  <dc:language>en-IL</dc:language>
  <cp:lastModifiedBy>comp</cp:lastModifiedBy>
  <dcterms:modified xsi:type="dcterms:W3CDTF">2009-08-10T08:05:00Z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נדב זהרי</vt:lpwstr>
  </property>
  <property fmtid="{D5CDD505-2E9C-101B-9397-08002B2CF9AE}" pid="4" name="CITY">
    <vt:lpwstr>נצ'</vt:lpwstr>
  </property>
  <property fmtid="{D5CDD505-2E9C-101B-9397-08002B2CF9AE}" pid="5" name="DATE">
    <vt:lpwstr>20090809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ג'ורג' אזולאי</vt:lpwstr>
  </property>
  <property fmtid="{D5CDD505-2E9C-101B-9397-08002B2CF9AE}" pid="9" name="LAWYER">
    <vt:lpwstr>רועי אלפסי;הדר אורן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1390</vt:lpwstr>
  </property>
  <property fmtid="{D5CDD505-2E9C-101B-9397-08002B2CF9AE}" pid="23" name="NEWPARTB">
    <vt:lpwstr>07</vt:lpwstr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380020090809</vt:lpwstr>
  </property>
  <property fmtid="{D5CDD505-2E9C-101B-9397-08002B2CF9AE}" pid="35" name="TYPE_N_DATE">
    <vt:lpwstr>38020090809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