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ית המשפט המחוזי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אליהו ביתן</w:t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  <w:sz w:val="26"/>
                <w:szCs w:val="26"/>
              </w:rPr>
              <w:t>29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1390-12-13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בסט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83"/>
        <w:gridCol w:w="922"/>
        <w:gridCol w:w="6134"/>
        <w:gridCol w:w="81"/>
      </w:tblGrid>
      <w:tr>
        <w:trPr>
          <w:trHeight w:val="337" w:hRule="atLeast"/>
        </w:trPr>
        <w:tc>
          <w:tcPr>
            <w:tcW w:w="1583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_GoBack"/>
            <w:bookmarkStart w:id="2" w:name="_GoBack"/>
            <w:bookmarkEnd w:id="2"/>
          </w:p>
        </w:tc>
        <w:tc>
          <w:tcPr>
            <w:tcW w:w="7056" w:type="dxa"/>
            <w:gridSpan w:val="2"/>
            <w:tcBorders/>
          </w:tcPr>
          <w:p>
            <w:pPr>
              <w:pStyle w:val="Header"/>
              <w:spacing w:lineRule="auto" w:line="360"/>
              <w:ind w:end="0"/>
              <w:jc w:val="end"/>
              <w:rPr>
                <w:b/>
                <w:bCs/>
              </w:rPr>
            </w:pPr>
            <w:r>
              <w:rPr/>
              <w:t>1399-12-13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639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ascii="Arial" w:hAnsi="Arial" w:eastAsia="Times New Roman" w:cs="Arial"/>
                <w:b/>
                <w:b/>
                <w:bCs/>
                <w:rtl w:val="true"/>
              </w:rPr>
              <w:t>בעניין</w:t>
            </w:r>
            <w:r>
              <w:rPr>
                <w:rFonts w:eastAsia="Times New Roman"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eastAsia="Times New Roman" w:cs="Arial"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505" w:type="dxa"/>
            <w:gridSpan w:val="2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bookmarkStart w:id="3" w:name="FirstAppellant"/>
            <w:bookmarkEnd w:id="3"/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המאשימה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:</w:t>
            </w:r>
          </w:p>
        </w:tc>
        <w:tc>
          <w:tcPr>
            <w:tcW w:w="621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720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505" w:type="dxa"/>
            <w:gridSpan w:val="2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הנאשם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:</w:t>
            </w:r>
          </w:p>
        </w:tc>
        <w:tc>
          <w:tcPr>
            <w:tcW w:w="621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אלירן בסט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bookmarkStart w:id="4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4"/>
      <w:r>
        <w:rPr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ויימן</w:t>
      </w:r>
      <w:r>
        <w:rPr>
          <w:rtl w:val="true"/>
        </w:rPr>
        <w:t xml:space="preserve"> </w:t>
      </w:r>
      <w:r>
        <w:rPr>
          <w:rtl w:val="true"/>
        </w:rPr>
        <w:t>אירה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ובא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מוטי</w:t>
      </w:r>
      <w:r>
        <w:rPr>
          <w:rtl w:val="true"/>
        </w:rPr>
        <w:t xml:space="preserve"> </w:t>
      </w:r>
      <w:r>
        <w:rPr>
          <w:rtl w:val="true"/>
        </w:rPr>
        <w:t>נווה</w:t>
      </w:r>
      <w:r>
        <w:rPr>
          <w:rtl w:val="true"/>
        </w:rPr>
        <w:t xml:space="preserve"> </w:t>
      </w:r>
    </w:p>
    <w:p>
      <w:pPr>
        <w:pStyle w:val="12"/>
        <w:spacing w:lineRule="auto" w:line="360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sz w:val="28"/>
          <w:szCs w:val="28"/>
        </w:rPr>
      </w:pPr>
      <w:r>
        <w:rPr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bookmarkStart w:id="6" w:name="PsakDin"/>
      <w:bookmarkStart w:id="7" w:name="LawTable_End"/>
      <w:bookmarkEnd w:id="6"/>
      <w:bookmarkEnd w:id="7"/>
      <w:r>
        <w:rPr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בטרם שמיעת הראיות</w:t>
      </w:r>
      <w:r>
        <w:rPr>
          <w:rtl w:val="true"/>
        </w:rPr>
        <w:t xml:space="preserve">, </w:t>
      </w:r>
      <w:r>
        <w:rPr>
          <w:rtl w:val="true"/>
        </w:rPr>
        <w:t>הגיעו הצדדים להסדר טיעון במסגרתו כתב האישום המקורי שהוגש נגד הנאשם תוקן והנאשם הודה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שאלה עיקריהן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 xml:space="preserve">בתאריך </w:t>
      </w:r>
      <w:r>
        <w:rPr/>
        <w:t>21.11.13</w:t>
      </w:r>
      <w:r>
        <w:rPr>
          <w:rtl w:val="true"/>
        </w:rPr>
        <w:t xml:space="preserve"> </w:t>
      </w:r>
      <w:r>
        <w:rPr>
          <w:rtl w:val="true"/>
        </w:rPr>
        <w:t xml:space="preserve">סמוך לשעה </w:t>
      </w:r>
      <w:r>
        <w:rPr/>
        <w:t>17:40</w:t>
      </w:r>
      <w:r>
        <w:rPr>
          <w:rtl w:val="true"/>
        </w:rPr>
        <w:t xml:space="preserve">, </w:t>
      </w:r>
      <w:r>
        <w:rPr>
          <w:rtl w:val="true"/>
        </w:rPr>
        <w:t>בדימונה</w:t>
      </w:r>
      <w:r>
        <w:rPr>
          <w:rtl w:val="true"/>
        </w:rPr>
        <w:t xml:space="preserve">, </w:t>
      </w:r>
      <w:r>
        <w:rPr>
          <w:rtl w:val="true"/>
        </w:rPr>
        <w:t xml:space="preserve">הנאשם נסע ברכב בו נהג אחר והחזיק בתוך תיק רובה מסוג </w:t>
      </w:r>
      <w:r>
        <w:rPr>
          <w:rtl w:val="true"/>
        </w:rPr>
        <w:t>"</w:t>
      </w:r>
      <w:r>
        <w:rPr>
          <w:rtl w:val="true"/>
        </w:rPr>
        <w:t>קארל גוסטב</w:t>
      </w:r>
      <w:r>
        <w:rPr>
          <w:rtl w:val="true"/>
        </w:rPr>
        <w:t xml:space="preserve">". </w:t>
      </w:r>
      <w:r>
        <w:rPr>
          <w:rtl w:val="true"/>
        </w:rPr>
        <w:t>לאחר מכן הוא יצא מהרכב עם התיק ובו הנשק והשליך אותו למקום סמוך</w:t>
      </w:r>
      <w:r>
        <w:rPr>
          <w:rtl w:val="true"/>
        </w:rPr>
        <w:t xml:space="preserve">. </w:t>
      </w:r>
      <w:r>
        <w:rPr>
          <w:rtl w:val="true"/>
        </w:rPr>
        <w:t>שוטרים שארבו במקום עצרו את הנאשם ותפסו את 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 יסוד הודאת הנאשם בעובדות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 הורשע בעבירה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המליצו הצדדים לבית המשפט להטיל על הנאשם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בניכוי </w:t>
      </w:r>
      <w:r>
        <w:rPr/>
        <w:t>69</w:t>
      </w:r>
      <w:r>
        <w:rPr>
          <w:rtl w:val="true"/>
        </w:rPr>
        <w:t xml:space="preserve"> </w:t>
      </w:r>
      <w:r>
        <w:rPr>
          <w:rtl w:val="true"/>
        </w:rPr>
        <w:t>ימי מעצרו</w:t>
      </w:r>
      <w:r>
        <w:rPr>
          <w:rtl w:val="true"/>
        </w:rPr>
        <w:t xml:space="preserve">; </w:t>
      </w:r>
      <w:r>
        <w:rPr>
          <w:rtl w:val="true"/>
        </w:rPr>
        <w:t>להפעיל את המאסר על תנאי בן ששת החודשים התלוי ועומד נגדו מ</w:t>
      </w:r>
      <w:hyperlink r:id="rId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1156/08</w:t>
        </w:r>
      </w:hyperlink>
      <w:r>
        <w:rPr>
          <w:rtl w:val="true"/>
        </w:rPr>
        <w:t xml:space="preserve"> </w:t>
      </w:r>
      <w:r>
        <w:rPr>
          <w:rtl w:val="true"/>
        </w:rPr>
        <w:t>של בית משפט השלום דימונה</w:t>
      </w:r>
      <w:r>
        <w:rPr>
          <w:rtl w:val="true"/>
        </w:rPr>
        <w:t xml:space="preserve">, </w:t>
      </w:r>
      <w:r>
        <w:rPr>
          <w:rtl w:val="true"/>
        </w:rPr>
        <w:t>חציו במצטבר למאסר כאן וחציו בחופף לו</w:t>
      </w:r>
      <w:r>
        <w:rPr>
          <w:rtl w:val="true"/>
        </w:rPr>
        <w:t xml:space="preserve">; </w:t>
      </w:r>
      <w:r>
        <w:rPr>
          <w:rtl w:val="true"/>
        </w:rPr>
        <w:t xml:space="preserve">להפעיל את התחייבות בסך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שהוטלה על הנאשם 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1156/08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 xml:space="preserve">קנס בסך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שישולם לאחר שחרור הנאשם מהכלא</w:t>
      </w:r>
      <w:r>
        <w:rPr>
          <w:rtl w:val="true"/>
        </w:rPr>
        <w:t xml:space="preserve">, </w:t>
      </w:r>
      <w:r>
        <w:rPr>
          <w:rtl w:val="true"/>
        </w:rPr>
        <w:t xml:space="preserve">ב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תשלומים חודשיים שווים</w:t>
      </w:r>
      <w:r>
        <w:rPr>
          <w:rtl w:val="true"/>
        </w:rPr>
        <w:t xml:space="preserve">; </w:t>
      </w:r>
      <w:r>
        <w:rPr>
          <w:rtl w:val="true"/>
        </w:rPr>
        <w:t>ומאסר על 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התביעה הסבירה את הסדר הטיעון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במורכבות תעודת החיסיון והנושא המודיעיני הנוגע למקרה והוסיפה</w:t>
      </w:r>
      <w:r>
        <w:rPr>
          <w:rtl w:val="true"/>
        </w:rPr>
        <w:t xml:space="preserve">, </w:t>
      </w:r>
      <w:r>
        <w:rPr>
          <w:rtl w:val="true"/>
        </w:rPr>
        <w:t>כי היא לקחה בחשבון גם את פרק הזמן הקצר בו הנאשם החזיק בנשק</w:t>
      </w:r>
      <w:r>
        <w:rPr>
          <w:rtl w:val="true"/>
        </w:rPr>
        <w:t xml:space="preserve">, </w:t>
      </w:r>
      <w:r>
        <w:rPr>
          <w:rtl w:val="true"/>
        </w:rPr>
        <w:t xml:space="preserve">את העובדה שעבירתו האחרונה של הנאשם היא משנת </w:t>
      </w:r>
      <w:r>
        <w:rPr/>
        <w:t>2006</w:t>
      </w:r>
      <w:r>
        <w:rPr>
          <w:rtl w:val="true"/>
        </w:rPr>
        <w:t xml:space="preserve">  </w:t>
      </w:r>
      <w:r>
        <w:rPr>
          <w:rtl w:val="true"/>
        </w:rPr>
        <w:t>ומאז הוא עובד במקום עבודה קבוע ומסודר</w:t>
      </w:r>
      <w:r>
        <w:rPr>
          <w:rtl w:val="true"/>
        </w:rPr>
        <w:t xml:space="preserve">, </w:t>
      </w:r>
      <w:r>
        <w:rPr>
          <w:rtl w:val="true"/>
        </w:rPr>
        <w:t xml:space="preserve">ואת העובדה שהסדר הטיעון כולל תשלום בסך כולל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אלף ₪ וכן את הודיית הנאשם</w:t>
      </w:r>
      <w:r>
        <w:rPr>
          <w:rtl w:val="true"/>
        </w:rPr>
        <w:t xml:space="preserve">, </w:t>
      </w:r>
      <w:r>
        <w:rPr>
          <w:rtl w:val="true"/>
        </w:rPr>
        <w:t>שחסכה זמן שיפוט</w:t>
      </w:r>
      <w:r>
        <w:rPr>
          <w:rtl w:val="true"/>
        </w:rPr>
        <w:t xml:space="preserve">, </w:t>
      </w:r>
      <w:r>
        <w:rPr>
          <w:rtl w:val="true"/>
        </w:rPr>
        <w:t>ואת הבעת החרטה שלו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הצטרף לטיעוני התביעה והדגיש את העובדה שבשנים האחרונות הנאשם מקיים אורח חיים נורמטיבי ועובד כמסגר במפעלי ים המלח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נשק הוא כלי מסוכן</w:t>
      </w:r>
      <w:r>
        <w:rPr>
          <w:rtl w:val="true"/>
        </w:rPr>
        <w:t xml:space="preserve">. </w:t>
      </w:r>
      <w:r>
        <w:rPr>
          <w:rtl w:val="true"/>
        </w:rPr>
        <w:t>הסיכון הגלום בהחזקתו</w:t>
      </w:r>
      <w:r>
        <w:rPr>
          <w:rtl w:val="true"/>
        </w:rPr>
        <w:t xml:space="preserve">, </w:t>
      </w:r>
      <w:r>
        <w:rPr>
          <w:rtl w:val="true"/>
        </w:rPr>
        <w:t>בנשיאתו ובשימוש בו שלא כדין</w:t>
      </w:r>
      <w:r>
        <w:rPr>
          <w:rtl w:val="true"/>
        </w:rPr>
        <w:t xml:space="preserve">, </w:t>
      </w:r>
      <w:r>
        <w:rPr>
          <w:rtl w:val="true"/>
        </w:rPr>
        <w:t>ברור מאליו</w:t>
      </w:r>
      <w:r>
        <w:rPr>
          <w:rtl w:val="true"/>
        </w:rPr>
        <w:t xml:space="preserve">. </w:t>
      </w:r>
      <w:r>
        <w:rPr>
          <w:rtl w:val="true"/>
        </w:rPr>
        <w:t>העונש המוטל בדרך כלל על החזקת נשק בנסיבות הדומות לענייננו</w:t>
      </w:r>
      <w:r>
        <w:rPr>
          <w:rtl w:val="true"/>
        </w:rPr>
        <w:t xml:space="preserve">, </w:t>
      </w:r>
      <w:r>
        <w:rPr>
          <w:rtl w:val="true"/>
        </w:rPr>
        <w:t>חמור מזה עליו ממליצים 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הנאשם נדון ביום </w:t>
      </w:r>
      <w:r>
        <w:rPr/>
        <w:t>18.6.12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1156/08</w:t>
        </w:r>
      </w:hyperlink>
      <w:r>
        <w:rPr>
          <w:rtl w:val="true"/>
        </w:rPr>
        <w:t xml:space="preserve"> </w:t>
      </w:r>
      <w:r>
        <w:rPr>
          <w:rtl w:val="true"/>
        </w:rPr>
        <w:t>של בית משפט השלום דימונה</w:t>
      </w:r>
      <w:r>
        <w:rPr>
          <w:rtl w:val="true"/>
        </w:rPr>
        <w:t xml:space="preserve">, </w:t>
      </w:r>
      <w:r>
        <w:rPr>
          <w:rtl w:val="true"/>
        </w:rPr>
        <w:t>על עבירות של החזקת אגרופן שלא כדין</w:t>
      </w:r>
      <w:r>
        <w:rPr>
          <w:rtl w:val="true"/>
        </w:rPr>
        <w:t xml:space="preserve">, </w:t>
      </w:r>
      <w:r>
        <w:rPr>
          <w:rtl w:val="true"/>
        </w:rPr>
        <w:t>תקיפת שוטר בעת מילוי תפקידו</w:t>
      </w:r>
      <w:r>
        <w:rPr>
          <w:rtl w:val="true"/>
        </w:rPr>
        <w:t xml:space="preserve">, </w:t>
      </w:r>
      <w:r>
        <w:rPr>
          <w:rtl w:val="true"/>
        </w:rPr>
        <w:t>שימוש ברכב ללא רשות והחזקת סמים לצריכה עצמית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שנים שלא יעבור עבירת פשע ולחתימה על התחייבות בסך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שלא יעבור במשך שנתיים עבירת פשע</w:t>
      </w:r>
      <w:r>
        <w:rPr>
          <w:rtl w:val="true"/>
        </w:rPr>
        <w:t xml:space="preserve">. </w:t>
      </w:r>
      <w:r>
        <w:rPr>
          <w:rtl w:val="true"/>
        </w:rPr>
        <w:t>העבירה שביצע הנאשם כאן</w:t>
      </w:r>
      <w:r>
        <w:rPr>
          <w:rtl w:val="true"/>
        </w:rPr>
        <w:t xml:space="preserve">, </w:t>
      </w:r>
      <w:r>
        <w:rPr>
          <w:rtl w:val="true"/>
        </w:rPr>
        <w:t>מפעילה את המאסר על תנאי ואת ההתחייבות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 ששקלתי בדבר</w:t>
      </w:r>
      <w:r>
        <w:rPr>
          <w:rtl w:val="true"/>
        </w:rPr>
        <w:t xml:space="preserve">, </w:t>
      </w:r>
      <w:r>
        <w:rPr>
          <w:rtl w:val="true"/>
        </w:rPr>
        <w:t>הגעתי למסקנה שיש לקבל את הסדר 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start"/>
        <w:rPr/>
      </w:pPr>
      <w:r>
        <w:rPr>
          <w:rtl w:val="true"/>
        </w:rPr>
        <w:t>הרקע להסדר הטיעון ענייני וסביר</w:t>
      </w:r>
      <w:r>
        <w:rPr>
          <w:rtl w:val="true"/>
        </w:rPr>
        <w:t xml:space="preserve">. </w:t>
      </w:r>
      <w:r>
        <w:rPr>
          <w:rtl w:val="true"/>
        </w:rPr>
        <w:t>כאשר חשיפת עבירה והפללת עבריין כרוכות במידע מודיעיני שנמסר על ידי אזרח המשתף פעולה עם המשטרה</w:t>
      </w:r>
      <w:r>
        <w:rPr>
          <w:rtl w:val="true"/>
        </w:rPr>
        <w:t xml:space="preserve">, </w:t>
      </w:r>
      <w:r>
        <w:rPr>
          <w:rtl w:val="true"/>
        </w:rPr>
        <w:t>יש לנהוג בעניין בזהירות מירבית</w:t>
      </w:r>
      <w:r>
        <w:rPr>
          <w:rtl w:val="true"/>
        </w:rPr>
        <w:t xml:space="preserve">, </w:t>
      </w:r>
      <w:r>
        <w:rPr>
          <w:rtl w:val="true"/>
        </w:rPr>
        <w:t>שמא פרטי האזרח יחשפו ויבולע לו וגם הנכונות לשתף פעולה עם המשטרה תיפגע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start"/>
        <w:rPr/>
      </w:pPr>
      <w:r>
        <w:rPr>
          <w:rtl w:val="true"/>
        </w:rPr>
        <w:t>הודאת הנאשם חסכה זמן שיפוט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start"/>
        <w:rPr/>
      </w:pPr>
      <w:r>
        <w:rPr>
          <w:rtl w:val="true"/>
        </w:rPr>
        <w:t>נתוניו של הנאשם והתנהלותו בשנים האחרונות מצדיקים התחשבות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start"/>
        <w:rPr>
          <w:rFonts w:ascii="FrankRuehl" w:hAnsi="FrankRuehl" w:cs="FrankRuehl"/>
          <w:color w:val="000000"/>
        </w:rPr>
      </w:pPr>
      <w:r>
        <w:rPr>
          <w:rtl w:val="true"/>
        </w:rPr>
        <w:t>העונש המוצע כולל ענישה לתקופה משמעותית ותשלום כספי לא מבוטל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/>
        <w:t>8</w:t>
      </w:r>
      <w:r>
        <w:rPr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בהתחשב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בכל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האמור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אני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דן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לעונשים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הבאים</w:t>
      </w:r>
      <w:r>
        <w:rPr>
          <w:rFonts w:cs="FrankRuehl" w:ascii="FrankRuehl" w:hAnsi="FrankRuehl"/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</w:rPr>
        <w:t>1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12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בפועל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בניכוי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69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ימי</w:t>
      </w:r>
      <w:r>
        <w:rPr>
          <w:rFonts w:ascii="FrankRuehl" w:hAnsi="FrankRuehl" w:cs="FrankRuehl"/>
          <w:color w:val="000000"/>
          <w:rtl w:val="true"/>
        </w:rPr>
        <w:t xml:space="preserve">  </w:t>
      </w:r>
      <w:r>
        <w:rPr>
          <w:rFonts w:ascii="FrankRuehl" w:hAnsi="FrankRuehl" w:cs="FrankRuehl"/>
          <w:color w:val="000000"/>
          <w:rtl w:val="true"/>
        </w:rPr>
        <w:t>מעצר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</w:rPr>
        <w:t>2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אני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מפעיל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תנאי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שהוטל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</w:t>
      </w: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1156/08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בית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משפט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השלום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דימונה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cs="FrankRuehl" w:ascii="FrankRuehl" w:hAnsi="FrankRuehl"/>
          <w:color w:val="000000"/>
        </w:rPr>
        <w:t>3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ממנו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במצטבר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שנגזר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עליו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כאן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ו</w:t>
      </w:r>
      <w:r>
        <w:rPr>
          <w:rFonts w:cs="FrankRuehl" w:ascii="FrankRuehl" w:hAnsi="FrankRuehl"/>
          <w:color w:val="000000"/>
          <w:rtl w:val="true"/>
        </w:rPr>
        <w:t xml:space="preserve">- </w:t>
      </w:r>
      <w:r>
        <w:rPr>
          <w:rFonts w:cs="FrankRuehl" w:ascii="FrankRuehl" w:hAnsi="FrankRuehl"/>
          <w:color w:val="000000"/>
        </w:rPr>
        <w:t>3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יהיו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בחופף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להם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 xml:space="preserve">בסך הכל ישא הנאשם </w:t>
      </w:r>
      <w:r>
        <w:rPr>
          <w:rFonts w:cs="FrankRuehl" w:ascii="FrankRuehl" w:hAnsi="FrankRuehl"/>
          <w:color w:val="000000"/>
        </w:rPr>
        <w:t>15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חודשי מאסר בפועל בניכוי </w:t>
      </w:r>
      <w:r>
        <w:rPr>
          <w:rFonts w:cs="FrankRuehl" w:ascii="FrankRuehl" w:hAnsi="FrankRuehl"/>
          <w:color w:val="000000"/>
        </w:rPr>
        <w:t>69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ימי מעצרו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</w:rPr>
        <w:t>3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הנאשם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ישלם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סכום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ההתחייבות</w:t>
      </w:r>
      <w:r>
        <w:rPr>
          <w:rFonts w:ascii="FrankRuehl" w:hAnsi="FrankRuehl" w:cs="FrankRuehl"/>
          <w:color w:val="000000"/>
          <w:rtl w:val="true"/>
        </w:rPr>
        <w:t xml:space="preserve"> – </w:t>
      </w:r>
      <w:r>
        <w:rPr>
          <w:rFonts w:cs="FrankRuehl" w:ascii="FrankRuehl" w:hAnsi="FrankRuehl"/>
          <w:color w:val="000000"/>
        </w:rPr>
        <w:t>15,000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₪</w:t>
      </w:r>
      <w:r>
        <w:rPr>
          <w:rFonts w:cs="FrankRuehl" w:ascii="FrankRuehl" w:hAnsi="FrankRuehl"/>
          <w:color w:val="000000"/>
          <w:rtl w:val="true"/>
        </w:rPr>
        <w:t xml:space="preserve"> - </w:t>
      </w:r>
      <w:r>
        <w:rPr>
          <w:rFonts w:ascii="FrankRuehl" w:hAnsi="FrankRuehl" w:cs="FrankRuehl"/>
          <w:color w:val="000000"/>
          <w:rtl w:val="true"/>
        </w:rPr>
        <w:t>שהוטלה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עליו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</w:t>
      </w: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1156/08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בית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משפט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השלום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דימונה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אם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סכום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ההתחייבות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ישולם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יאסר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לתקופה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3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חודשים</w:t>
      </w:r>
      <w:r>
        <w:rPr>
          <w:rFonts w:cs="FrankRuehl" w:ascii="FrankRuehl" w:hAnsi="FrankRuehl"/>
          <w:color w:val="000000"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</w:rPr>
        <w:t>4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קנס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בסך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15,000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₪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שלושה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תחתיו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הקנס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ישולם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</w:t>
      </w:r>
      <w:r>
        <w:rPr>
          <w:rFonts w:cs="FrankRuehl" w:ascii="FrankRuehl" w:hAnsi="FrankRuehl"/>
          <w:color w:val="000000"/>
          <w:rtl w:val="true"/>
        </w:rPr>
        <w:t xml:space="preserve">- </w:t>
      </w:r>
      <w:r>
        <w:rPr>
          <w:rFonts w:cs="FrankRuehl" w:ascii="FrankRuehl" w:hAnsi="FrankRuehl"/>
          <w:color w:val="000000"/>
        </w:rPr>
        <w:t>15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תשלומים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שווים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ורצופים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החל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01.04.15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תשלום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ישולם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במועדו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יעמיד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יתרת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הקנס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לפרעון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מיידי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</w:rPr>
        <w:t>5</w:t>
      </w:r>
      <w:r>
        <w:rPr>
          <w:rFonts w:cs="FrankRuehl" w:ascii="FrankRuehl" w:hAnsi="FrankRuehl"/>
          <w:color w:val="000000"/>
          <w:rtl w:val="true"/>
        </w:rPr>
        <w:t xml:space="preserve">. </w:t>
        <w:tab/>
      </w:r>
      <w:r>
        <w:rPr>
          <w:rFonts w:cs="FrankRuehl" w:ascii="FrankRuehl" w:hAnsi="FrankRuehl"/>
          <w:color w:val="000000"/>
        </w:rPr>
        <w:t>6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תנאי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למשך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3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שנים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שחרורו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מהמאסר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יעבור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עבירת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פשע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b/>
          <w:bCs/>
          <w:color w:val="000000"/>
        </w:rPr>
      </w:pPr>
      <w:r>
        <w:rPr>
          <w:rFonts w:cs="FrankRuehl" w:ascii="FrankRuehl" w:hAnsi="FrankRuehl"/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b/>
          <w:bCs/>
          <w:color w:val="000000"/>
        </w:rPr>
      </w:pPr>
      <w:r>
        <w:rPr>
          <w:rFonts w:ascii="FrankRuehl" w:hAnsi="FrankRuehl" w:cs="FrankRuehl"/>
          <w:b/>
          <w:b/>
          <w:bCs/>
          <w:color w:val="000000"/>
          <w:rtl w:val="true"/>
        </w:rPr>
        <w:t>זכות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ערעור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תוך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 </w:t>
      </w:r>
      <w:r>
        <w:rPr>
          <w:rFonts w:cs="FrankRuehl" w:ascii="FrankRuehl" w:hAnsi="FrankRuehl"/>
          <w:b/>
          <w:bCs/>
          <w:color w:val="000000"/>
        </w:rPr>
        <w:t>45</w:t>
      </w:r>
      <w:r>
        <w:rPr>
          <w:rFonts w:cs="FrankRuehl" w:ascii="FrankRuehl" w:hAnsi="FrankRuehl"/>
          <w:b/>
          <w:bCs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יום</w:t>
      </w:r>
      <w:r>
        <w:rPr>
          <w:rFonts w:cs="FrankRuehl" w:ascii="FrankRuehl" w:hAnsi="FrankRuehl"/>
          <w:b/>
          <w:bCs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b/>
          <w:bCs/>
          <w:color w:val="000000"/>
        </w:rPr>
      </w:pPr>
      <w:r>
        <w:rPr>
          <w:rFonts w:cs="FrankRuehl" w:ascii="FrankRuehl" w:hAnsi="FrankRuehl"/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b/>
          <w:bCs/>
          <w:color w:val="000000"/>
          <w:sz w:val="6"/>
          <w:szCs w:val="6"/>
        </w:rPr>
      </w:pPr>
      <w:r>
        <w:rPr>
          <w:rFonts w:cs="FrankRuehl" w:ascii="FrankRuehl" w:hAnsi="FrankRuehl"/>
          <w:b/>
          <w:bCs/>
          <w:color w:val="000000"/>
          <w:sz w:val="6"/>
          <w:szCs w:val="6"/>
          <w:rtl w:val="true"/>
        </w:rPr>
        <w:t>&lt;</w:t>
      </w:r>
      <w:r>
        <w:rPr>
          <w:rFonts w:cs="FrankRuehl" w:ascii="FrankRuehl" w:hAnsi="FrankRuehl"/>
          <w:b/>
          <w:bCs/>
          <w:color w:val="000000"/>
          <w:sz w:val="6"/>
          <w:szCs w:val="6"/>
        </w:rPr>
        <w:t>#2#</w:t>
      </w:r>
      <w:r>
        <w:rPr>
          <w:rFonts w:cs="FrankRuehl" w:ascii="FrankRuehl" w:hAnsi="FrankRuehl"/>
          <w:b/>
          <w:bCs/>
          <w:color w:val="000000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FrankRuehl" w:hAnsi="FrankRuehl" w:cs="FrankRuehl"/>
          <w:b/>
          <w:bCs/>
          <w:color w:val="000000"/>
          <w:sz w:val="6"/>
          <w:szCs w:val="6"/>
        </w:rPr>
      </w:pPr>
      <w:r>
        <w:rPr>
          <w:rFonts w:cs="FrankRuehl" w:ascii="FrankRuehl" w:hAnsi="FrankRuehl"/>
          <w:b/>
          <w:bCs/>
          <w:color w:val="000000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 ניסן 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/>
        <w:t>29/04/2014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אליהו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ביתן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center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אני מבקש שבית משפט ייקבע שהנאשם יחל את נשיאת מאסרו בעוד שבועיים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אני מבקשת שבית המשפט ייקבע שהנאשם יחל בנשיאת מאסרו בעוד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דהיינו ביום א</w:t>
      </w:r>
      <w:r>
        <w:rPr>
          <w:rtl w:val="true"/>
        </w:rPr>
        <w:t xml:space="preserve">' </w:t>
      </w:r>
      <w:r>
        <w:rPr>
          <w:rtl w:val="true"/>
        </w:rPr>
        <w:t>הקרוב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  <w:sz w:val="6"/>
          <w:szCs w:val="6"/>
        </w:rPr>
      </w:pPr>
      <w:r>
        <w:rPr>
          <w:color w:val="000000"/>
          <w:sz w:val="6"/>
          <w:szCs w:val="6"/>
          <w:rtl w:val="true"/>
        </w:rPr>
        <w:t>&lt;</w:t>
      </w:r>
      <w:r>
        <w:rPr>
          <w:color w:val="000000"/>
          <w:sz w:val="6"/>
          <w:szCs w:val="6"/>
        </w:rPr>
        <w:t>#3#</w:t>
      </w:r>
      <w:r>
        <w:rPr>
          <w:color w:val="000000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 xml:space="preserve">על הנאשם להתייצב לנשיאת מאסרו ביום </w:t>
      </w:r>
      <w:r>
        <w:rPr>
          <w:color w:val="000000"/>
        </w:rPr>
        <w:t>12.05.14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עד השעה </w:t>
      </w:r>
      <w:r>
        <w:rPr>
          <w:color w:val="000000"/>
        </w:rPr>
        <w:t>09:00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בכלא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דקל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במתחם בתי הכלא בבאר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שבע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>תנאי השחרור הקבועים לנאשם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כולל עיכוב יציאתו מן הארץ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יעמדו בתוקפם עד להתייצבות הנאשם לנשיאת מאסרו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  <w:sz w:val="6"/>
          <w:szCs w:val="6"/>
        </w:rPr>
      </w:pPr>
      <w:r>
        <w:rPr>
          <w:color w:val="000000"/>
          <w:sz w:val="6"/>
          <w:szCs w:val="6"/>
          <w:rtl w:val="true"/>
        </w:rPr>
        <w:t>&lt;</w:t>
      </w:r>
      <w:r>
        <w:rPr>
          <w:color w:val="000000"/>
          <w:sz w:val="6"/>
          <w:szCs w:val="6"/>
        </w:rPr>
        <w:t>#4#</w:t>
      </w:r>
      <w:r>
        <w:rPr>
          <w:color w:val="000000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000000"/>
          <w:sz w:val="6"/>
          <w:szCs w:val="6"/>
        </w:rPr>
      </w:pPr>
      <w:r>
        <w:rPr>
          <w:color w:val="000000"/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ניסן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29/04/2014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אליהו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ביתן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זיוה</w:t>
      </w:r>
      <w:r>
        <w:rPr>
          <w:rtl w:val="true"/>
        </w:rPr>
        <w:t xml:space="preserve"> </w:t>
      </w:r>
      <w:r>
        <w:rPr>
          <w:rtl w:val="true"/>
        </w:rPr>
        <w:t>עובדיה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1390-12-13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אלירן בסט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inks/psika/?link=&#1514;&#1508;%201156/08" TargetMode="External"/><Relationship Id="rId7" Type="http://schemas.openxmlformats.org/officeDocument/2006/relationships/hyperlink" Target="http://www.nevo.co.il/links/psika/?link=&#1514;&#1508;%201156/08" TargetMode="External"/><Relationship Id="rId8" Type="http://schemas.openxmlformats.org/officeDocument/2006/relationships/hyperlink" Target="http://www.nevo.co.il/links/psika/?link=&#1514;&#1508;%201156/08" TargetMode="External"/><Relationship Id="rId9" Type="http://schemas.openxmlformats.org/officeDocument/2006/relationships/hyperlink" Target="http://www.nevo.co.il/links/psika/?link=&#1514;&#1508;%201156/08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2014-05-04T12:16:00Z</dcterms:created>
  <dc:creator> </dc:creator>
  <dc:description/>
  <cp:keywords/>
  <dc:language>en-IL</dc:language>
  <cp:lastModifiedBy>hofit</cp:lastModifiedBy>
  <dcterms:modified xsi:type="dcterms:W3CDTF">2014-05-04T12:16:00Z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אלירן בסט</vt:lpwstr>
  </property>
  <property fmtid="{D5CDD505-2E9C-101B-9397-08002B2CF9AE}" pid="4" name="CASENOTES1">
    <vt:lpwstr>ProcID=209&amp;PartA=1156&amp;PartC=08</vt:lpwstr>
  </property>
  <property fmtid="{D5CDD505-2E9C-101B-9397-08002B2CF9AE}" pid="5" name="CITY">
    <vt:lpwstr>ב"ש</vt:lpwstr>
  </property>
  <property fmtid="{D5CDD505-2E9C-101B-9397-08002B2CF9AE}" pid="6" name="DATE">
    <vt:lpwstr>20140429</vt:lpwstr>
  </property>
  <property fmtid="{D5CDD505-2E9C-101B-9397-08002B2CF9AE}" pid="7" name="ISABSTRACT">
    <vt:lpwstr>Y</vt:lpwstr>
  </property>
  <property fmtid="{D5CDD505-2E9C-101B-9397-08002B2CF9AE}" pid="8" name="JUDGE">
    <vt:lpwstr>אליהו ביתן</vt:lpwstr>
  </property>
  <property fmtid="{D5CDD505-2E9C-101B-9397-08002B2CF9AE}" pid="9" name="LAWLISTTMP1">
    <vt:lpwstr>70301/144.a</vt:lpwstr>
  </property>
  <property fmtid="{D5CDD505-2E9C-101B-9397-08002B2CF9AE}" pid="10" name="LAWYER">
    <vt:lpwstr>ויימן אירה;מוטי נווה</vt:lpwstr>
  </property>
  <property fmtid="{D5CDD505-2E9C-101B-9397-08002B2CF9AE}" pid="11" name="NEWPARTA">
    <vt:lpwstr>1390</vt:lpwstr>
  </property>
  <property fmtid="{D5CDD505-2E9C-101B-9397-08002B2CF9AE}" pid="12" name="NEWPARTB">
    <vt:lpwstr>12</vt:lpwstr>
  </property>
  <property fmtid="{D5CDD505-2E9C-101B-9397-08002B2CF9AE}" pid="13" name="NEWPARTC">
    <vt:lpwstr>13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390020140429</vt:lpwstr>
  </property>
  <property fmtid="{D5CDD505-2E9C-101B-9397-08002B2CF9AE}" pid="18" name="TYPE_N_DATE">
    <vt:lpwstr>39020140429</vt:lpwstr>
  </property>
  <property fmtid="{D5CDD505-2E9C-101B-9397-08002B2CF9AE}" pid="19" name="WORDNUMPAGES">
    <vt:lpwstr>4</vt:lpwstr>
  </property>
</Properties>
</file>