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418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721" w:type="dxa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1410-03-24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אלנסאסרה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</w:p>
        </w:tc>
      </w:tr>
    </w:tbl>
    <w:p>
      <w:pPr>
        <w:pStyle w:val="Normal"/>
        <w:spacing w:lineRule="exact" w:line="240" w:before="120" w:after="12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1140"/>
        <w:gridCol w:w="675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סגן הנשיא  אבי לוי</w:t>
            </w:r>
          </w:p>
        </w:tc>
      </w:tr>
      <w:tr>
        <w:trPr>
          <w:trHeight w:val="355" w:hRule="atLeast"/>
        </w:trPr>
        <w:tc>
          <w:tcPr>
            <w:tcW w:w="206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FirstAppellant"/>
            <w:bookmarkStart w:id="1" w:name="LastJudge"/>
            <w:bookmarkEnd w:id="0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6757" w:type="dxa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206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6757" w:type="dxa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עקאב אלנסאסרה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וענונו אזברגה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וקנס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ס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5000</w:t>
      </w:r>
      <w:r>
        <w:rPr>
          <w:rFonts w:eastAsia="Calibri" w:cs="FrankRuehl"/>
          <w:szCs w:val="26"/>
          <w:rtl w:val="true"/>
        </w:rPr>
        <w:t xml:space="preserve"> 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FrankRuehl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מדינה</w:t>
      </w: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FrankRuehl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Calibri" w:cs="FrankRuehl"/>
          <w:szCs w:val="26"/>
        </w:rPr>
      </w:pPr>
      <w:r>
        <w:rPr>
          <w:rFonts w:eastAsia="Calibri" w:cs="FrankRuehl"/>
          <w:szCs w:val="26"/>
          <w:rtl w:val="true"/>
        </w:rPr>
        <w:t>החזקת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נשק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סחר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נשיאתו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הובלתו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וכן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הנגזרות</w:t>
      </w:r>
      <w:r>
        <w:rPr>
          <w:rFonts w:eastAsia="Calibri" w:cs="FrankRuehl"/>
          <w:szCs w:val="26"/>
          <w:rtl w:val="true"/>
        </w:rPr>
        <w:t xml:space="preserve">" </w:t>
      </w:r>
      <w:r>
        <w:rPr>
          <w:rFonts w:eastAsia="Calibri" w:cs="FrankRuehl"/>
          <w:szCs w:val="26"/>
          <w:rtl w:val="true"/>
        </w:rPr>
        <w:t>למעשים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אלו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הפכו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למכת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מדינה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ממש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מדינה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ריבונית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ומתוקנת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איננה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יכולה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לקבל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מכת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  <w:rtl w:val="true"/>
        </w:rPr>
        <w:t>גורל</w:t>
      </w:r>
      <w:r>
        <w:rPr>
          <w:rFonts w:eastAsia="Calibri" w:cs="FrankRuehl"/>
          <w:szCs w:val="26"/>
          <w:rtl w:val="true"/>
        </w:rPr>
        <w:t xml:space="preserve">" </w:t>
      </w:r>
      <w:r>
        <w:rPr>
          <w:rFonts w:eastAsia="Calibri" w:cs="FrankRuehl"/>
          <w:szCs w:val="26"/>
          <w:rtl w:val="true"/>
        </w:rPr>
        <w:t>תופעה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שבמסגרתה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מובל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ונישא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בלתי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  <w:rtl w:val="true"/>
        </w:rPr>
        <w:t>חוקי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בקרב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אזרחיה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ותושביה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בשנים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האחרונות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מגמת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החמרה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בענישה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עם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זאת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משקל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ניכר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בקביעת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נשיאת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לתלות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באופי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הנשק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במידת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קטלניותו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בכמותו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בתחמושת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שנתפסה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לצדו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וכיוצ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ב</w:t>
      </w:r>
      <w:r>
        <w:rPr>
          <w:rFonts w:eastAsia="Calibri"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הרגיל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FrankRuehl"/>
          <w:szCs w:val="26"/>
          <w:rtl w:val="true"/>
        </w:rPr>
        <w:t>)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eastAsia="Calibri" w:cs="FrankRuehl"/>
          <w:szCs w:val="26"/>
          <w:rtl w:val="true"/>
        </w:rPr>
        <w:t>במקרה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לקבוע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10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22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חודשי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לריצוי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לצד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עונשים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נלווים</w:t>
      </w:r>
      <w:r>
        <w:rPr>
          <w:rFonts w:eastAsia="Calibri" w:cs="FrankRuehl"/>
          <w:szCs w:val="26"/>
          <w:rtl w:val="true"/>
        </w:rPr>
        <w:t>.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בהתחשב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בכלל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השיקולים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לגזור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וקנס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ס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5000</w:t>
      </w:r>
      <w:r>
        <w:rPr>
          <w:rFonts w:eastAsia="Calibri" w:cs="FrankRuehl"/>
          <w:szCs w:val="26"/>
          <w:rtl w:val="true"/>
        </w:rPr>
        <w:t xml:space="preserve"> ₪.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9" w:name="PsakDin"/>
      <w:bookmarkEnd w:id="9"/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>(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בעניין הנאשם </w:t>
      </w:r>
      <w:r>
        <w:rPr>
          <w:rFonts w:cs="David" w:ascii="David" w:hAnsi="David"/>
          <w:b/>
          <w:bCs/>
          <w:sz w:val="28"/>
          <w:szCs w:val="28"/>
          <w:u w:val="single"/>
        </w:rPr>
        <w:t>1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עקאב אלנסאסרה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הורשע ביום </w:t>
      </w:r>
      <w:r>
        <w:rPr>
          <w:rFonts w:cs="David" w:ascii="David" w:hAnsi="David"/>
        </w:rPr>
        <w:t>12.9.24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סמך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שנכללו בכתב אישום מתוקן אשר הוגש נגדו ואשר עניינ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סיוע לעבירות בנשק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נשיאה והובלה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עד סיפה ו</w:t>
      </w:r>
      <w:r>
        <w:rPr>
          <w:rFonts w:cs="David" w:ascii="David" w:hAnsi="David"/>
          <w:rtl w:val="true"/>
        </w:rPr>
        <w:t>-</w:t>
      </w:r>
      <w:hyperlink r:id="rId11"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כאן המקום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גזירת עונשו של הנאשם המשותף לכתב האישום המתוקן ולהסדר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הופרדה מעניינו של הנאשם דכאן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גילו וחובת עריכת התסקיר לעניין עונשו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מטבע הדברים מחייבת שהות נוספת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בין הנאשמים קיימת היכרות מוקדמת על רקע קשר משפחתי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במועדים הרלוונטיים לכתב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החזיק ועשה שימוש ברכב מסוג פולקסווגן מספר רישוי </w:t>
      </w:r>
      <w:r>
        <w:rPr>
          <w:rFonts w:eastAsia="Calibri" w:cs="David" w:ascii="David" w:hAnsi="David"/>
        </w:rPr>
        <w:t>50067703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הרשום על שם חברת בדוי ובניו בע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7.2.24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22:50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נהג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ברכב בכביש </w:t>
      </w:r>
      <w:r>
        <w:rPr>
          <w:rFonts w:eastAsia="Calibri" w:cs="David" w:ascii="David" w:hAnsi="David"/>
        </w:rPr>
        <w:t>65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מכיוון דרום לכיוון צפון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במושב מאחוריו ישב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במושב שליד הנהג ישב מוחמד נסאסרה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במושב האחורי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האמצעי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ישב סולימאן אזברגה ואילו במושב שמאחורי מושב הנוסע ישב עדנאן אזברגה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באותו מועד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סייעו הנאשמים לאחר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שזהותו אינה ידועה למאשימה לשאת ולהוביל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 ובצוותא חדא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אקדח מסוג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חצי אוטומטי טעון במחסנית ובתוכה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</w:t>
      </w: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מוסלקים בתוך הדופן האחורי של מושב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סייעו הנאשמים לאחר לשאת ולהוביל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בצוותא חדא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שהוסלקו בתוך כפפה שחורה על גופו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האקדח הינו כלי שסוגל לירות כדור שבכוחו להמית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הכדורים הינם תחמושת לנשק כהגדרתו בחוק והמחסנית הינה אביזר לנשק כאמור</w:t>
      </w:r>
      <w:r>
        <w:rPr>
          <w:rFonts w:eastAsia="Calibri"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ראיות וטיעוני הצדדים לעניין העונש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על אודות אופיו של הנאשם העיד </w:t>
      </w:r>
      <w:r>
        <w:rPr>
          <w:rFonts w:ascii="David" w:hAnsi="David" w:eastAsia="Calibri"/>
          <w:b/>
          <w:b/>
          <w:bCs/>
          <w:rtl w:val="true"/>
        </w:rPr>
        <w:t>מר עלא אזברגה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עד זה פירט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הוא היחיד במשפחתו שמטפל באמו החולה וכי אופיו טוב לבריות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וללא בעיות משמעת</w:t>
      </w:r>
      <w:r>
        <w:rPr>
          <w:rFonts w:ascii="David" w:hAnsi="David" w:eastAsia="Calibri"/>
          <w:rtl w:val="true"/>
        </w:rPr>
        <w:t xml:space="preserve"> בעבודתו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העד תיאר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מפעיל דחפורים בחברתו ושהוא עושה עבודתו נאמנה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ומשכך מבוקש גם לעבודות במסגרת הצבא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הודגש 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בין אלה נכללו פרויקטים שתרמו למערכה הצבאית </w:t>
      </w:r>
      <w:r>
        <w:rPr>
          <w:rFonts w:eastAsia="Calibri" w:cs="David" w:ascii="David" w:hAnsi="David"/>
          <w:rtl w:val="true"/>
        </w:rPr>
        <w:t>("</w:t>
      </w:r>
      <w:r>
        <w:rPr>
          <w:rFonts w:ascii="David" w:hAnsi="David" w:eastAsia="Calibri"/>
          <w:rtl w:val="true"/>
        </w:rPr>
        <w:t>חברות ברזל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בגבול הצפון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הוגשו לעיוני 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b/>
          <w:b/>
          <w:bCs/>
          <w:rtl w:val="true"/>
        </w:rPr>
        <w:t>תעודות הוקרה</w:t>
      </w:r>
      <w:r>
        <w:rPr>
          <w:rFonts w:ascii="David" w:hAnsi="David" w:eastAsia="Calibri"/>
          <w:rtl w:val="true"/>
        </w:rPr>
        <w:t xml:space="preserve"> מחודש יולי </w:t>
      </w:r>
      <w:r>
        <w:rPr>
          <w:rFonts w:eastAsia="Calibri" w:cs="David" w:ascii="David" w:hAnsi="David"/>
        </w:rPr>
        <w:t>2024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מאת גדוד הבוקעים המופנית אל העד ואל עסקו של העד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בדוי בניו בע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טעה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הוגש </w:t>
      </w:r>
      <w:r>
        <w:rPr>
          <w:rFonts w:ascii="David" w:hAnsi="David" w:eastAsia="Calibri"/>
          <w:b/>
          <w:b/>
          <w:bCs/>
          <w:rtl w:val="true"/>
        </w:rPr>
        <w:t>מסמך רפואי</w:t>
      </w:r>
      <w:r>
        <w:rPr>
          <w:rFonts w:ascii="David" w:hAnsi="David" w:eastAsia="Calibri"/>
          <w:rtl w:val="true"/>
        </w:rPr>
        <w:t xml:space="preserve"> המעיד על אודות מצבה הרפואי של אם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טעה 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).     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i/>
          <w:i/>
          <w:iCs/>
        </w:rPr>
      </w:pPr>
      <w:r>
        <w:rPr>
          <w:rFonts w:ascii="David" w:hAnsi="David" w:eastAsia="Calibri"/>
          <w:i/>
          <w:i/>
          <w:iCs/>
          <w:rtl w:val="true"/>
        </w:rPr>
        <w:t xml:space="preserve">המאשימה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i/>
          <w:i/>
          <w:iCs/>
          <w:u w:val="single"/>
        </w:rPr>
      </w:pPr>
      <w:r>
        <w:rPr>
          <w:rFonts w:eastAsia="Calibri" w:cs="David" w:ascii="David" w:hAnsi="David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המלומד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מיכאל יפרח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הגיש מסמך טיעונים כתוב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טעת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והוסיף על אלו בעל 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ראשית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צוין כי הנאשם נעדר עבר פלילי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במסגרת טיעוניו עמד הפרקליט על חומרתן של העבירות בנשק והסיכון הרב שגלום בהן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הוא סקר את נסיבות ביצוע העבירה והפנה אל פסיקה רלוונטית שעניינה בעבירות נשק דומות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לשיטתה של המאשימה  מתחם העונש ההולם את מעשה הסיוע של הנאשם דכאן צריך שינוע בין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לבין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בהתייחסו לנסיבות שאינן 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צוין כי אמנם הנאשם הודה בעבירות ובכך חסך זמן שיפוטי יקר וכן עברו הפלילי נקי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אך  לצד אלו יש לגזור את עונשו ברף האמצעי של מתחם הענישה המוצע </w:t>
      </w:r>
      <w:r>
        <w:rPr>
          <w:rFonts w:eastAsia="Calibri" w:cs="David" w:ascii="David" w:hAnsi="David"/>
          <w:rtl w:val="true"/>
        </w:rPr>
        <w:t xml:space="preserve">-  </w:t>
      </w:r>
      <w:r>
        <w:rPr>
          <w:rFonts w:ascii="David" w:hAnsi="David" w:eastAsia="Calibri"/>
          <w:rtl w:val="true"/>
        </w:rPr>
        <w:t>לשם הרתעת הרבים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i/>
          <w:i/>
          <w:iCs/>
        </w:rPr>
      </w:pPr>
      <w:r>
        <w:rPr>
          <w:rFonts w:eastAsia="Calibri" w:cs="David" w:ascii="David" w:hAnsi="David"/>
          <w:i/>
          <w:i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i/>
          <w:i/>
          <w:iCs/>
        </w:rPr>
      </w:pPr>
      <w:r>
        <w:rPr>
          <w:rFonts w:eastAsia="Calibri" w:cs="David" w:ascii="David" w:hAnsi="David"/>
          <w:i/>
          <w:i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i/>
          <w:i/>
          <w:iCs/>
        </w:rPr>
      </w:pPr>
      <w:r>
        <w:rPr>
          <w:rFonts w:ascii="David" w:hAnsi="David" w:eastAsia="Calibri"/>
          <w:i/>
          <w:i/>
          <w:iCs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i/>
          <w:i/>
          <w:iCs/>
        </w:rPr>
      </w:pPr>
      <w:r>
        <w:rPr>
          <w:rFonts w:eastAsia="Calibri" w:cs="David" w:ascii="David" w:hAnsi="David"/>
          <w:i/>
          <w:i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המלומד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חנא בולוס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הגיש מצדו את טיעוני ההגנה לעניין העונש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טעה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והוסיף על אלו בעל 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בקצירת האומר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צוין כי עסקינן בעבירת סיוע וכלי נשק שהוא 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בניגוד לכלי נשק עוצמתיים יותר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ונתון במעצר מזה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במצב דברים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אינו מסוגל לדואג לאמו החולה במחלה קשה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הודגש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הודה בהזדמנות הראשונה ובכך חסך זמן שיפוטי רב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חזר על דברי עד האופי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ועמד על תרומתו של הנאשם לחברה בה הוא עובד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הסנגור עמד על פסיקה המתאימה לשיטתו לנסיבות המקרה ועתר לשרטט מתחם ענישה הנע 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לבין </w:t>
      </w:r>
      <w:r>
        <w:rPr>
          <w:rFonts w:eastAsia="Calibri" w:cs="David" w:ascii="David" w:hAnsi="David"/>
          <w:rtl w:val="true"/>
        </w:rPr>
        <w:t>½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שיכול וירוצו בדרך של עבודות שירות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i/>
          <w:i/>
          <w:iCs/>
        </w:rPr>
      </w:pPr>
      <w:r>
        <w:rPr>
          <w:rFonts w:ascii="David" w:hAnsi="David" w:eastAsia="Calibri"/>
          <w:i/>
          <w:i/>
          <w:iCs/>
          <w:rtl w:val="true"/>
        </w:rPr>
        <w:t>דבריו של הנאשם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i/>
          <w:i/>
          <w:iCs/>
          <w:u w:val="single"/>
        </w:rPr>
      </w:pPr>
      <w:r>
        <w:rPr>
          <w:rFonts w:eastAsia="Calibri" w:cs="David" w:ascii="David" w:hAnsi="David"/>
          <w:i/>
          <w:i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פנה אל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בציינו כי הוא מצטער מאוד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הדגיש כי אינו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שייך לתחום הזה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וביקש שבית המשפט יעניק לו הזדמנות לשקם את חייו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סחר בו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נשיאתו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הובלתו</w:t>
      </w:r>
      <w:r>
        <w:rPr>
          <w:rFonts w:ascii="David" w:hAnsi="David" w:eastAsia="Calibri"/>
          <w:rtl w:val="true"/>
        </w:rPr>
        <w:t xml:space="preserve"> וכן </w:t>
      </w:r>
      <w:r>
        <w:rPr>
          <w:rFonts w:ascii="David" w:hAnsi="David" w:eastAsia="Calibri"/>
          <w:u w:val="single"/>
          <w:rtl w:val="true"/>
        </w:rPr>
        <w:t xml:space="preserve">העבירות </w:t>
      </w:r>
      <w:r>
        <w:rPr>
          <w:rFonts w:eastAsia="Calibri" w:cs="David" w:ascii="David" w:hAnsi="David"/>
          <w:u w:val="single"/>
          <w:rtl w:val="true"/>
        </w:rPr>
        <w:t>"</w:t>
      </w:r>
      <w:r>
        <w:rPr>
          <w:rFonts w:ascii="David" w:hAnsi="David" w:eastAsia="Calibri"/>
          <w:u w:val="single"/>
          <w:rtl w:val="true"/>
        </w:rPr>
        <w:t>הנגזרות</w:t>
      </w:r>
      <w:r>
        <w:rPr>
          <w:rFonts w:eastAsia="Calibri" w:cs="David" w:ascii="David" w:hAnsi="David"/>
          <w:u w:val="single"/>
          <w:rtl w:val="true"/>
        </w:rPr>
        <w:t xml:space="preserve">" </w:t>
      </w:r>
      <w:r>
        <w:rPr>
          <w:rFonts w:ascii="David" w:hAnsi="David" w:eastAsia="Calibri"/>
          <w:u w:val="single"/>
          <w:rtl w:val="true"/>
        </w:rPr>
        <w:t>למעשים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הפכו לדאבון הלב למכת מדינה של ממש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לעניין זה למשל</w:t>
      </w:r>
      <w:r>
        <w:rPr>
          <w:rFonts w:eastAsia="Calibri" w:cs="David" w:ascii="David" w:hAnsi="David"/>
          <w:rtl w:val="true"/>
        </w:rPr>
        <w:t xml:space="preserve">: </w:t>
      </w:r>
      <w:hyperlink r:id="rId1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1695/22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גנאים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, 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29.3.22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כפי שציינתי חזור ושנה בעבר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מדינה ריבונית ומתוקנת איננה יכולה לקבל 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גורל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תופעה שבמסגרתה מובל ונישא נשק בלתי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חוקי בקרב אזרחיה ותושביה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כזו עלולה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חלילה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לכרסם ביסודות לחם חוקה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276"/>
        <w:ind w:start="651" w:end="709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 נפנים לבצע את מלאכת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העיקרון המנחה שנקבע במסגרת תורת הבניית שיקול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הדעת השיפוטי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עקרון ההלימה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משמע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שימור יחס הולם בין חומרת מעשה העבירה בנסיבותיו ומידת אשמו של הנאשם ובין סוג העונש המוטל עליו ומידתו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מנת לשמר יחס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עובר לקביעת העונש יש לשרטט מתחם עונש 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מתוך התחשבות בערך החברתי בו פגע המעשה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ובנסיבות הקשורות בביצוע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קביעת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וככל שבית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המשפט לא מצא לנכון לסטות הימנו מטעמים של שיקום או של הגנה על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ייקבע העונש המתאים לנאשם בשים לב לנסיבותיו האישיות ולנתונים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הללו שאינם קשורים בביצוע העבירה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-284"/>
        <w:jc w:val="both"/>
        <w:rPr/>
      </w:pPr>
      <w:r>
        <w:rPr>
          <w:rFonts w:ascii="David" w:hAnsi="David" w:eastAsia="Calibri"/>
          <w:rtl w:val="true"/>
        </w:rPr>
        <w:t xml:space="preserve">בכל הנוגע לערכים החברתיים המוגנים שנפגעו כפועל יוצא ממעשיו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הדברים מובנים מאליהם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u w:val="single"/>
          <w:rtl w:val="true"/>
        </w:rPr>
        <w:t xml:space="preserve">המסייע </w:t>
      </w:r>
      <w:r>
        <w:rPr>
          <w:rFonts w:ascii="David" w:hAnsi="David" w:eastAsia="Calibri"/>
          <w:rtl w:val="true"/>
        </w:rPr>
        <w:t xml:space="preserve">להוביל נשק ותחמושת בלא רשות על פי דין פוגע בראש ובראשונה </w:t>
      </w:r>
      <w:r>
        <w:rPr>
          <w:rFonts w:ascii="David" w:hAnsi="David" w:eastAsia="Calibri"/>
          <w:b/>
          <w:b/>
          <w:bCs/>
          <w:rtl w:val="true"/>
        </w:rPr>
        <w:t>בביטחון המדינה ובמנגנוני שלטונה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בשלום הציבור ובסדר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הוא פוגע בביטחון הציבור </w:t>
      </w:r>
      <w:r>
        <w:rPr>
          <w:rFonts w:ascii="David" w:hAnsi="David" w:eastAsia="Calibri"/>
          <w:b/>
          <w:b/>
          <w:bCs/>
          <w:rtl w:val="true"/>
        </w:rPr>
        <w:t>וחושף אותו לאירועי טרור עוין כמו גם פלילי המבוצעים באמצעות נשק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הנישא שלא כחוק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הפגיעה בערכים אלו במקרה זה היא ממשית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5522/20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חלייחל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24.2.21</w:t>
      </w:r>
      <w:r>
        <w:rPr>
          <w:rtl w:val="true"/>
        </w:rPr>
        <w:t xml:space="preserve">)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276"/>
        <w:ind w:hanging="142" w:start="935" w:end="851"/>
        <w:jc w:val="both"/>
        <w:rPr/>
      </w:pPr>
      <w:r>
        <w:rPr>
          <w:rFonts w:eastAsia="David" w:cs="David" w:ascii="David" w:hAnsi="David"/>
          <w:spacing w:val="10"/>
          <w:rtl w:val="true"/>
        </w:rPr>
        <w:t xml:space="preserve"> </w:t>
      </w:r>
      <w:r>
        <w:rPr>
          <w:rFonts w:cs="David" w:ascii="David" w:hAnsi="David"/>
          <w:spacing w:val="10"/>
          <w:rtl w:val="true"/>
        </w:rPr>
        <w:t>"</w:t>
      </w:r>
      <w:r>
        <w:rPr>
          <w:rFonts w:ascii="Calibri Light" w:hAnsi="Calibri Light" w:cs="Times New Roman"/>
          <w:spacing w:val="10"/>
          <w:rtl w:val="true"/>
        </w:rPr>
        <w:t>סעיף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cs="Calibri Light" w:ascii="Calibri Light" w:hAnsi="Calibri Light"/>
          <w:spacing w:val="10"/>
        </w:rPr>
        <w:t>144</w:t>
      </w:r>
      <w:r>
        <w:rPr>
          <w:rFonts w:cs="Calibri Light" w:ascii="Calibri Light" w:hAnsi="Calibri Light"/>
          <w:spacing w:val="10"/>
          <w:rtl w:val="true"/>
        </w:rPr>
        <w:t>(</w:t>
      </w:r>
      <w:r>
        <w:rPr>
          <w:rFonts w:ascii="Calibri Light" w:hAnsi="Calibri Light" w:cs="Times New Roman"/>
          <w:spacing w:val="10"/>
          <w:rtl w:val="true"/>
        </w:rPr>
        <w:t>ב</w:t>
      </w:r>
      <w:r>
        <w:rPr>
          <w:rFonts w:cs="Calibri Light" w:ascii="Calibri Light" w:hAnsi="Calibri Light"/>
          <w:spacing w:val="10"/>
          <w:rtl w:val="true"/>
        </w:rPr>
        <w:t xml:space="preserve">) </w:t>
      </w:r>
      <w:r>
        <w:rPr>
          <w:rFonts w:ascii="Calibri Light" w:hAnsi="Calibri Light" w:cs="Times New Roman"/>
          <w:spacing w:val="10"/>
          <w:rtl w:val="true"/>
        </w:rPr>
        <w:t>ל</w:t>
      </w:r>
      <w:hyperlink r:id="rId15">
        <w:r>
          <w:rPr>
            <w:rStyle w:val="Hyperlink"/>
            <w:rFonts w:ascii="Calibri Light" w:hAnsi="Calibri Light" w:cs="Times New Roman"/>
            <w:color w:val="0000FF"/>
            <w:spacing w:val="10"/>
            <w:u w:val="single"/>
            <w:rtl w:val="true"/>
          </w:rPr>
          <w:t>חוק</w:t>
        </w:r>
        <w:r>
          <w:rPr>
            <w:rStyle w:val="Hyperlink"/>
            <w:rFonts w:ascii="Calibri Light" w:hAnsi="Calibri Light" w:eastAsia="Calibri Light" w:cs="Calibri Light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ascii="Calibri Light" w:hAnsi="Calibri Light" w:cs="Times New Roman"/>
            <w:color w:val="0000FF"/>
            <w:spacing w:val="10"/>
            <w:u w:val="single"/>
            <w:rtl w:val="true"/>
          </w:rPr>
          <w:t>העונשין</w:t>
        </w:r>
      </w:hyperlink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אוסר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נשיאה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הובלה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כלי</w:t>
      </w:r>
      <w:r>
        <w:rPr>
          <w:rFonts w:cs="Calibri Light" w:ascii="Calibri Light" w:hAnsi="Calibri Light"/>
          <w:spacing w:val="10"/>
          <w:rtl w:val="true"/>
        </w:rPr>
        <w:t>-</w:t>
      </w:r>
      <w:r>
        <w:rPr>
          <w:rFonts w:ascii="Calibri Light" w:hAnsi="Calibri Light" w:cs="Times New Roman"/>
          <w:spacing w:val="10"/>
          <w:rtl w:val="true"/>
        </w:rPr>
        <w:t>נשק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cs="Calibri Light" w:ascii="Calibri Light" w:hAnsi="Calibri Light"/>
          <w:b/>
          <w:rtl w:val="true"/>
        </w:rPr>
        <w:t>"</w:t>
      </w:r>
      <w:r>
        <w:rPr>
          <w:rFonts w:ascii="Calibri Light" w:hAnsi="Calibri Light" w:cs="Times New Roman"/>
          <w:b/>
          <w:b/>
          <w:rtl w:val="true"/>
        </w:rPr>
        <w:t>בלא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רשות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על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פי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דין</w:t>
      </w:r>
      <w:r>
        <w:rPr>
          <w:rFonts w:cs="Calibri Light" w:ascii="Calibri Light" w:hAnsi="Calibri Light"/>
          <w:b/>
          <w:rtl w:val="true"/>
        </w:rPr>
        <w:t>"</w:t>
      </w:r>
      <w:r>
        <w:rPr>
          <w:rFonts w:cs="Calibri Light" w:ascii="Calibri Light" w:hAnsi="Calibri Light"/>
          <w:spacing w:val="10"/>
          <w:rtl w:val="true"/>
        </w:rPr>
        <w:t xml:space="preserve">. </w:t>
      </w:r>
      <w:r>
        <w:rPr>
          <w:rFonts w:ascii="Calibri Light" w:hAnsi="Calibri Light" w:cs="Times New Roman"/>
          <w:spacing w:val="10"/>
          <w:rtl w:val="true"/>
        </w:rPr>
        <w:t>האיסור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נועד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להגן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ערך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חיי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האדם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שלמות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גופו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ונפשו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כמו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גם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לקדם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השמירה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הסדר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הציבורי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ואורח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חיים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תקין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שלו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ובטוח</w:t>
      </w:r>
      <w:r>
        <w:rPr>
          <w:rFonts w:cs="Calibri Light" w:ascii="Calibri Light" w:hAnsi="Calibri Light"/>
          <w:spacing w:val="10"/>
          <w:rtl w:val="true"/>
        </w:rPr>
        <w:t xml:space="preserve">... </w:t>
      </w:r>
      <w:r>
        <w:rPr>
          <w:rFonts w:ascii="Calibri Light" w:hAnsi="Calibri Light" w:cs="Times New Roman"/>
          <w:spacing w:val="10"/>
          <w:rtl w:val="true"/>
        </w:rPr>
        <w:t>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זו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כמו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יתר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עבירות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הנשק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נועדה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למנוע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התנהגות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מסוכנת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ולמזער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הפוטנציאל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לגרימת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נזקים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חמורים</w:t>
      </w:r>
      <w:r>
        <w:rPr>
          <w:rFonts w:cs="Calibri Light" w:ascii="Calibri Light" w:hAnsi="Calibri Light"/>
          <w:spacing w:val="10"/>
          <w:rtl w:val="true"/>
        </w:rPr>
        <w:t xml:space="preserve">.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אכן</w:t>
      </w:r>
      <w:r>
        <w:rPr>
          <w:rFonts w:cs="Calibri Light" w:ascii="Calibri Light" w:hAnsi="Calibri Light"/>
          <w:b/>
          <w:bCs/>
          <w:spacing w:val="10"/>
          <w:rtl w:val="true"/>
        </w:rPr>
        <w:t xml:space="preserve">,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נשיאה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והובלה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כלי</w:t>
      </w:r>
      <w:r>
        <w:rPr>
          <w:rFonts w:cs="Calibri Light" w:ascii="Calibri Light" w:hAnsi="Calibri Light"/>
          <w:b/>
          <w:bCs/>
          <w:spacing w:val="10"/>
          <w:rtl w:val="true"/>
        </w:rPr>
        <w:t>-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נשק</w:t>
      </w:r>
      <w:r>
        <w:rPr>
          <w:rFonts w:cs="Calibri Light" w:ascii="Calibri Light" w:hAnsi="Calibri Light"/>
          <w:b/>
          <w:bCs/>
          <w:spacing w:val="10"/>
          <w:rtl w:val="true"/>
        </w:rPr>
        <w:t xml:space="preserve">,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הריהי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לעיתים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רק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הסנונית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הראשונה</w:t>
      </w:r>
      <w:r>
        <w:rPr>
          <w:rFonts w:cs="Calibri Light" w:ascii="Calibri Light" w:hAnsi="Calibri Light"/>
          <w:b/>
          <w:bCs/>
          <w:spacing w:val="10"/>
          <w:rtl w:val="true"/>
        </w:rPr>
        <w:t xml:space="preserve">,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בואכה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מעשים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חמורים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יותר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Calibri Light"/>
          <w:b/>
          <w:b/>
          <w:bCs/>
          <w:spacing w:val="10"/>
          <w:rtl w:val="true"/>
        </w:rPr>
        <w:t xml:space="preserve">–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חבלה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חמורה</w:t>
      </w:r>
      <w:r>
        <w:rPr>
          <w:rFonts w:cs="Calibri Light" w:ascii="Calibri Light" w:hAnsi="Calibri Light"/>
          <w:b/>
          <w:bCs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שוד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מזוין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רצח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וכיוצא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באלה</w:t>
      </w:r>
      <w:r>
        <w:rPr>
          <w:rFonts w:cs="Calibri Light" w:ascii="Calibri Light" w:hAnsi="Calibri Light"/>
          <w:spacing w:val="10"/>
          <w:rtl w:val="true"/>
        </w:rPr>
        <w:t xml:space="preserve">... </w:t>
      </w:r>
      <w:r>
        <w:rPr>
          <w:rFonts w:ascii="Calibri Light" w:hAnsi="Calibri Light" w:cs="Times New Roman"/>
          <w:spacing w:val="10"/>
          <w:rtl w:val="true"/>
        </w:rPr>
        <w:t>כמו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כן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לא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אחת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צוין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כי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למרבה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הצער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חרף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האיסור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שבדין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הפכה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תופעת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השימוש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בנשק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למכת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מדינה</w:t>
      </w:r>
      <w:r>
        <w:rPr>
          <w:rFonts w:cs="Calibri Light" w:ascii="Calibri Light" w:hAnsi="Calibri Light"/>
          <w:spacing w:val="10"/>
          <w:rtl w:val="true"/>
        </w:rPr>
        <w:t xml:space="preserve">. </w:t>
      </w:r>
      <w:r>
        <w:rPr>
          <w:rFonts w:ascii="Calibri Light" w:hAnsi="Calibri Light" w:cs="Times New Roman"/>
          <w:spacing w:val="10"/>
          <w:rtl w:val="true"/>
        </w:rPr>
        <w:t>בעקבות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זאת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לשם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הרתעה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ניכרת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בפסיקה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מגמה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החמרה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הדרגתית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בענישה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על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עבירות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bCs/>
          <w:spacing w:val="10"/>
          <w:rtl w:val="true"/>
        </w:rPr>
        <w:t>הנשק</w:t>
      </w:r>
      <w:r>
        <w:rPr>
          <w:rFonts w:ascii="Calibri Light" w:hAnsi="Calibri Light" w:eastAsia="Calibri Light" w:cs="Calibri Light"/>
          <w:b/>
          <w:b/>
          <w:bCs/>
          <w:spacing w:val="10"/>
          <w:rtl w:val="true"/>
        </w:rPr>
        <w:t xml:space="preserve"> </w:t>
      </w:r>
      <w:r>
        <w:rPr>
          <w:rFonts w:cs="Calibri Light" w:ascii="Calibri Light" w:hAnsi="Calibri Light"/>
          <w:spacing w:val="10"/>
          <w:rtl w:val="true"/>
        </w:rPr>
        <w:t>(</w:t>
      </w:r>
      <w:hyperlink r:id="rId16">
        <w:r>
          <w:rPr>
            <w:rStyle w:val="Hyperlink"/>
            <w:rFonts w:ascii="Calibri Light" w:hAnsi="Calibri Light" w:cs="Times New Roman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Times New Roman" w:ascii="Calibri Light" w:hAnsi="Calibri Light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Calibri Light" w:hAnsi="Calibri Light" w:cs="Times New Roman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Calibri Light" w:hAnsi="Calibri Light" w:eastAsia="Calibri Light" w:cs="Calibri Light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Times New Roman" w:ascii="Calibri Light" w:hAnsi="Calibri Light"/>
            <w:color w:val="0000FF"/>
            <w:spacing w:val="10"/>
            <w:u w:val="single"/>
          </w:rPr>
          <w:t>5807/20</w:t>
        </w:r>
      </w:hyperlink>
      <w:r>
        <w:rPr>
          <w:rFonts w:cs="Calibri Light" w:ascii="Calibri Light" w:hAnsi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שיבלי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נ</w:t>
      </w:r>
      <w:r>
        <w:rPr>
          <w:rFonts w:cs="Calibri Light" w:ascii="Calibri Light" w:hAnsi="Calibri Light"/>
          <w:b/>
          <w:rtl w:val="true"/>
        </w:rPr>
        <w:t xml:space="preserve">' </w:t>
      </w:r>
      <w:r>
        <w:rPr>
          <w:rFonts w:ascii="Calibri Light" w:hAnsi="Calibri Light" w:cs="Times New Roman"/>
          <w:b/>
          <w:b/>
          <w:rtl w:val="true"/>
        </w:rPr>
        <w:t>מדינת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cs="Times New Roman"/>
          <w:b/>
          <w:b/>
          <w:rtl w:val="true"/>
        </w:rPr>
        <w:t>ישראל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פסקה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cs="Calibri Light" w:ascii="Calibri Light" w:hAnsi="Calibri Light"/>
          <w:spacing w:val="10"/>
        </w:rPr>
        <w:t>8</w:t>
      </w:r>
      <w:r>
        <w:rPr>
          <w:rFonts w:cs="Calibri Light" w:ascii="Calibri Light" w:hAnsi="Calibri Light"/>
          <w:spacing w:val="10"/>
          <w:rtl w:val="true"/>
        </w:rPr>
        <w:t xml:space="preserve"> [</w:t>
      </w:r>
      <w:r>
        <w:rPr>
          <w:rFonts w:ascii="Calibri Light" w:hAnsi="Calibri Light" w:cs="Calibri Light"/>
          <w:spacing w:val="10"/>
          <w:rtl w:val="true"/>
        </w:rPr>
        <w:t>נבו</w:t>
      </w:r>
      <w:r>
        <w:rPr>
          <w:rFonts w:cs="Calibri Light" w:ascii="Calibri Light" w:hAnsi="Calibri Light"/>
          <w:spacing w:val="10"/>
          <w:rtl w:val="true"/>
        </w:rPr>
        <w:t>]</w:t>
      </w:r>
      <w:r>
        <w:rPr>
          <w:rFonts w:cs="Calibri Light" w:ascii="Calibri Light" w:hAnsi="Calibri Light"/>
          <w:spacing w:val="10"/>
          <w:rtl w:val="true"/>
        </w:rPr>
        <w:t xml:space="preserve"> </w:t>
      </w:r>
      <w:r>
        <w:rPr>
          <w:rFonts w:cs="Calibri Light" w:ascii="Calibri Light" w:hAnsi="Calibri Light"/>
          <w:spacing w:val="10"/>
          <w:rtl w:val="true"/>
        </w:rPr>
        <w:t>(</w:t>
      </w:r>
      <w:r>
        <w:rPr>
          <w:rFonts w:cs="Calibri Light" w:ascii="Calibri Light" w:hAnsi="Calibri Light"/>
          <w:spacing w:val="10"/>
        </w:rPr>
        <w:t>30.12.2020</w:t>
      </w:r>
      <w:r>
        <w:rPr>
          <w:rFonts w:cs="Calibri Light" w:ascii="Calibri Light" w:hAnsi="Calibri Light"/>
          <w:spacing w:val="10"/>
          <w:rtl w:val="true"/>
        </w:rPr>
        <w:t>)..." (</w:t>
      </w:r>
      <w:r>
        <w:rPr>
          <w:rFonts w:ascii="Calibri Light" w:hAnsi="Calibri Light" w:cs="Times New Roman"/>
          <w:spacing w:val="10"/>
          <w:rtl w:val="true"/>
        </w:rPr>
        <w:t>ההדגשה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אינה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במקור</w:t>
      </w:r>
      <w:r>
        <w:rPr>
          <w:rFonts w:cs="Calibri Light" w:ascii="Calibri Light" w:hAnsi="Calibri Light"/>
          <w:spacing w:val="10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-284"/>
        <w:jc w:val="both"/>
        <w:rPr>
          <w:rFonts w:ascii="David" w:hAnsi="David" w:eastAsia="Calibri" w:cs="David"/>
          <w:spacing w:val="10"/>
        </w:rPr>
      </w:pPr>
      <w:r>
        <w:rPr>
          <w:rFonts w:eastAsia="Calibri" w:cs="David" w:ascii="David" w:hAnsi="David"/>
          <w:spacing w:val="10"/>
          <w:rtl w:val="true"/>
        </w:rPr>
      </w:r>
    </w:p>
    <w:p>
      <w:pPr>
        <w:pStyle w:val="Normal"/>
        <w:spacing w:lineRule="auto" w:line="360"/>
        <w:ind w:end="-284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Calibri" w:hAnsi="Calibri" w:eastAsia="Calibri" w:cs="Calibri"/>
          <w:rtl w:val="true"/>
        </w:rPr>
        <w:t xml:space="preserve">על מנת לשרטט כדבעי את מתחם העונש ההולם בעניינו של הנאשם עיינתי בפסיקה רחבה העוסקת בעבירות נשק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b/>
          <w:b/>
          <w:bCs/>
          <w:rtl w:val="true"/>
        </w:rPr>
        <w:t>נשיאה והובלה וסיוע להן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David" w:hAnsi="David" w:eastAsia="Calibri"/>
          <w:rtl w:val="true"/>
        </w:rPr>
        <w:t>נמצאתי למד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בשנים האחרונות חלה אט אט מגמת החמרה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הבאה לידי ביטוי בפסיקת הערכאות השונות הנוגעת לעבירה זו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Calibri" w:hAnsi="Calibri" w:eastAsia="Calibri" w:cs="Calibri"/>
          <w:rtl w:val="true"/>
        </w:rPr>
        <w:t xml:space="preserve">משקל ניכר בקביעת העונש בעבירות של נשיאת נשק יש לתלות </w:t>
      </w:r>
      <w:r>
        <w:rPr>
          <w:rFonts w:ascii="Calibri" w:hAnsi="Calibri" w:eastAsia="Calibri" w:cs="Calibri"/>
          <w:b/>
          <w:b/>
          <w:bCs/>
          <w:rtl w:val="true"/>
        </w:rPr>
        <w:t>באופי הנשק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במידת קטלניותו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בכמותו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u w:val="single"/>
          <w:rtl w:val="true"/>
        </w:rPr>
        <w:t>בתחמושת שנתפסה לצדו</w:t>
      </w:r>
      <w:r>
        <w:rPr>
          <w:rFonts w:ascii="Calibri" w:hAnsi="Calibri" w:eastAsia="Calibri" w:cs="Calibri"/>
          <w:rtl w:val="true"/>
        </w:rPr>
        <w:t xml:space="preserve"> וכיוצ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למעשה</w:t>
      </w:r>
      <w:r>
        <w:rPr>
          <w:rFonts w:eastAsia="Calibri" w:cs="Calibri" w:ascii="Calibri" w:hAnsi="Calibri"/>
          <w:rtl w:val="true"/>
        </w:rPr>
        <w:t>, "</w:t>
      </w:r>
      <w:r>
        <w:rPr>
          <w:rFonts w:ascii="Calibri Light" w:hAnsi="Calibri Light" w:eastAsia="Calibri" w:cs="Times New Roman"/>
          <w:rtl w:val="true"/>
        </w:rPr>
        <w:t>כבכל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עבירה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גם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בעבירות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קיים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מדרג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חומרה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ושומה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המשפט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להביאו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בחשבון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בבואו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לקבוע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מתחם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העונש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ההולם</w:t>
      </w:r>
      <w:r>
        <w:rPr>
          <w:rFonts w:eastAsia="Calibri" w:cs="Miriam" w:ascii="Calibri" w:hAnsi="Calibri"/>
          <w:rtl w:val="true"/>
        </w:rPr>
        <w:t>"</w:t>
      </w:r>
      <w:r>
        <w:rPr>
          <w:rFonts w:eastAsia="Calibri" w:cs="David" w:ascii="David" w:hAnsi="David"/>
          <w:rtl w:val="true"/>
        </w:rPr>
        <w:t>(</w:t>
      </w:r>
      <w:hyperlink r:id="rId1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9702/16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אלוליאיה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8</w:t>
      </w:r>
      <w:r>
        <w:rPr>
          <w:rFonts w:eastAsia="Calibri" w:cs="Calibri" w:ascii="Calibri" w:hAnsi="Calibri"/>
          <w:rtl w:val="true"/>
        </w:rPr>
        <w:t>, [</w:t>
      </w:r>
      <w:r>
        <w:rPr>
          <w:rFonts w:ascii="Calibri" w:hAnsi="Calibri" w:eastAsia="Calibri" w:cs="Calibri"/>
          <w:rtl w:val="true"/>
        </w:rPr>
        <w:t>נבו</w:t>
      </w:r>
      <w:r>
        <w:rPr>
          <w:rFonts w:eastAsia="Calibri" w:cs="Calibri" w:ascii="Calibri" w:hAnsi="Calibri"/>
          <w:rtl w:val="true"/>
        </w:rPr>
        <w:t>]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13.9.17</w:t>
      </w:r>
      <w:r>
        <w:rPr>
          <w:rFonts w:eastAsia="Calibri" w:cs="Calibri" w:ascii="Calibri" w:hAnsi="Calibri"/>
          <w:rtl w:val="true"/>
        </w:rPr>
        <w:t>) (</w:t>
      </w:r>
      <w:r>
        <w:rPr>
          <w:rFonts w:ascii="Calibri" w:hAnsi="Calibri" w:eastAsia="Calibri" w:cs="Calibri"/>
          <w:rtl w:val="true"/>
        </w:rPr>
        <w:t>ראו בנוסף לעניין זה</w:t>
      </w:r>
      <w:r>
        <w:rPr>
          <w:rFonts w:eastAsia="Calibri" w:cs="Calibri" w:ascii="Calibri" w:hAnsi="Calibri"/>
          <w:rtl w:val="true"/>
        </w:rPr>
        <w:t xml:space="preserve">: </w:t>
      </w:r>
      <w:hyperlink r:id="rId1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4059/17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סלמה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rtl w:val="true"/>
        </w:rPr>
        <w:t>, [</w:t>
      </w:r>
      <w:r>
        <w:rPr>
          <w:rFonts w:ascii="Calibri" w:hAnsi="Calibri" w:eastAsia="Calibri" w:cs="Calibri"/>
          <w:rtl w:val="true"/>
        </w:rPr>
        <w:t>נבו</w:t>
      </w:r>
      <w:r>
        <w:rPr>
          <w:rFonts w:eastAsia="Calibri" w:cs="Calibri" w:ascii="Calibri" w:hAnsi="Calibri"/>
          <w:rtl w:val="true"/>
        </w:rPr>
        <w:t>]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24.4.18</w:t>
      </w:r>
      <w:r>
        <w:rPr>
          <w:rFonts w:eastAsia="Calibri" w:cs="Calibri" w:ascii="Calibri" w:hAnsi="Calibri"/>
          <w:rtl w:val="true"/>
        </w:rPr>
        <w:t>)</w:t>
      </w:r>
      <w:r>
        <w:rPr>
          <w:rFonts w:eastAsia="Calibri" w:cs="Miriam" w:ascii="Calibri" w:hAnsi="Calibri"/>
          <w:rtl w:val="true"/>
        </w:rPr>
        <w:t xml:space="preserve">.  </w:t>
      </w: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/>
      </w:pPr>
      <w:r>
        <w:rPr>
          <w:rFonts w:ascii="David" w:hAnsi="David"/>
          <w:u w:val="single"/>
          <w:rtl w:val="true"/>
        </w:rPr>
        <w:t>אומר מייד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ככלל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מדיניות הענישה הנוהגת הכללית לעבירות שעניינן נשיאה והובלה של נשק שלא כדין</w:t>
      </w:r>
      <w:r>
        <w:rPr>
          <w:rFonts w:ascii="David" w:hAnsi="David"/>
          <w:rtl w:val="true"/>
        </w:rPr>
        <w:t xml:space="preserve"> באה לידי ביטוי במסגרתו של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ניתן ביום  </w:t>
      </w:r>
      <w:r>
        <w:rPr/>
        <w:t>14.9.22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u w:val="single"/>
          <w:rtl w:val="true"/>
        </w:rPr>
        <w:t>בגין עבירה מוגמרת בניגוד לסיוע לה</w:t>
      </w:r>
      <w:r>
        <w:rPr>
          <w:rFonts w:cs="David" w:ascii="David" w:hAnsi="David"/>
          <w:rtl w:val="true"/>
        </w:rPr>
        <w:t xml:space="preserve">)  </w:t>
      </w:r>
      <w:r>
        <w:rPr>
          <w:rFonts w:ascii="David" w:hAnsi="David"/>
          <w:b/>
          <w:b/>
          <w:bCs/>
          <w:rtl w:val="true"/>
        </w:rPr>
        <w:t xml:space="preserve">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בין סורג ובריח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{</w:t>
      </w:r>
      <w:r>
        <w:rPr>
          <w:rFonts w:ascii="David" w:hAnsi="David"/>
          <w:rtl w:val="true"/>
        </w:rPr>
        <w:t>עוד ראו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למשל</w:t>
      </w:r>
      <w:r>
        <w:rPr>
          <w:rFonts w:cs="David" w:ascii="David" w:hAnsi="David"/>
          <w:rtl w:val="true"/>
        </w:rPr>
        <w:t xml:space="preserve">: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3851/23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בוהדנה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13.6.23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עוד השוו </w:t>
      </w:r>
      <w:r>
        <w:rPr>
          <w:rFonts w:cs="David" w:ascii="David" w:hAnsi="David"/>
          <w:rtl w:val="true"/>
        </w:rPr>
        <w:t xml:space="preserve">: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38624-05-24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שאהין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ניתן על ידי לאחרונה ביום </w:t>
      </w:r>
      <w:r>
        <w:rPr>
          <w:rFonts w:cs="David" w:ascii="David" w:hAnsi="David"/>
        </w:rPr>
        <w:t>8.9.24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 xml:space="preserve">שעניינו בסיוע </w:t>
      </w:r>
      <w:r>
        <w:rPr>
          <w:rFonts w:ascii="David" w:hAnsi="David"/>
          <w:u w:val="single"/>
          <w:rtl w:val="true"/>
        </w:rPr>
        <w:t>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הפחותה בחומרתה מסיוע </w:t>
      </w:r>
      <w:r>
        <w:rPr>
          <w:rFonts w:ascii="David" w:hAnsi="David"/>
          <w:u w:val="single"/>
          <w:rtl w:val="true"/>
        </w:rPr>
        <w:t>לנשיאת נשק</w:t>
      </w:r>
      <w:r>
        <w:rPr>
          <w:rFonts w:cs="David" w:ascii="David" w:hAnsi="David"/>
          <w:rtl w:val="true"/>
        </w:rPr>
        <w:t>}.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-284"/>
        <w:jc w:val="both"/>
        <w:rPr/>
      </w:pPr>
      <w:r>
        <w:rPr>
          <w:rFonts w:ascii="David" w:hAnsi="David" w:eastAsia="Calibri"/>
          <w:rtl w:val="true"/>
        </w:rPr>
        <w:t>כזכור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בנידון דידן הנאשם הורשע </w:t>
      </w:r>
      <w:r>
        <w:rPr>
          <w:rFonts w:ascii="Calibri" w:hAnsi="Calibri" w:eastAsia="Calibri" w:cs="Calibri"/>
          <w:rtl w:val="true"/>
        </w:rPr>
        <w:t xml:space="preserve">בעבירה שעניינה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סיוע</w:t>
      </w:r>
      <w:r>
        <w:rPr>
          <w:rFonts w:ascii="Calibri" w:hAnsi="Calibri" w:eastAsia="Calibri" w:cs="Calibri"/>
          <w:b/>
          <w:b/>
          <w:bCs/>
          <w:rtl w:val="true"/>
        </w:rPr>
        <w:t xml:space="preserve"> לנשיאת נשק </w:t>
      </w:r>
      <w:r>
        <w:rPr>
          <w:rFonts w:ascii="Calibri" w:hAnsi="Calibri" w:eastAsia="Calibri" w:cs="Calibri"/>
          <w:rtl w:val="true"/>
        </w:rPr>
        <w:t xml:space="preserve">לפי </w:t>
      </w:r>
      <w:hyperlink r:id="rId22">
        <w:r>
          <w:rPr>
            <w:rStyle w:val="Hyperlink"/>
            <w:rFonts w:ascii="Calibri" w:hAnsi="Calibri" w:eastAsia="Calibri" w:cs="Calibri"/>
            <w:rtl w:val="true"/>
          </w:rPr>
          <w:t xml:space="preserve">סעיפים </w:t>
        </w:r>
        <w:r>
          <w:rPr>
            <w:rStyle w:val="Hyperlink"/>
            <w:rFonts w:eastAsia="Calibri" w:cs="Calibri" w:ascii="Calibri" w:hAnsi="Calibri"/>
          </w:rPr>
          <w:t>144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 xml:space="preserve">- </w:t>
      </w:r>
      <w:hyperlink r:id="rId23">
        <w:r>
          <w:rPr>
            <w:rStyle w:val="Hyperlink"/>
            <w:rFonts w:eastAsia="Calibri" w:cs="Calibri" w:ascii="Calibri" w:hAnsi="Calibri"/>
          </w:rPr>
          <w:t>31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2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משכך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בהתאם ל</w:t>
      </w:r>
      <w:hyperlink r:id="rId2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העונש על סיוע עומד על מחצית הענישה הנוגעת לעבירה העיקרית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בעוד כאשר עסקינן בעונש מזערי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 xml:space="preserve">העונש לא יפחת ממחציתו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ראו </w:t>
      </w:r>
      <w:hyperlink r:id="rId26">
        <w:r>
          <w:rPr>
            <w:rStyle w:val="Hyperlink"/>
            <w:rFonts w:ascii="Calibri" w:hAnsi="Calibri" w:eastAsia="Calibri" w:cs="Calibri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</w:rPr>
          <w:t>32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eastAsia="Calibri" w:cs="Calibri" w:ascii="Calibri" w:hAnsi="Calibri"/>
          </w:rPr>
          <w:t>3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 העונשין</w:t>
      </w:r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-426"/>
        <w:jc w:val="both"/>
        <w:rPr/>
      </w:pPr>
      <w:r>
        <w:rPr>
          <w:rFonts w:ascii="David" w:hAnsi="David" w:eastAsia="Calibri"/>
          <w:rtl w:val="true"/>
        </w:rPr>
        <w:t>בהקשר זה אעיר 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במסגרתו של 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לחוק העונשין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ascii="David" w:hAnsi="David" w:eastAsia="Calibri"/>
          <w:rtl w:val="true"/>
        </w:rPr>
        <w:t>הוראת שעה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התשפ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</w:t>
      </w:r>
      <w:r>
        <w:rPr>
          <w:rFonts w:eastAsia="Calibri" w:cs="David" w:ascii="David" w:hAnsi="David"/>
        </w:rPr>
        <w:t>2938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הבא לידי ביטוי </w:t>
      </w:r>
      <w:hyperlink r:id="rId27">
        <w:r>
          <w:rPr>
            <w:rStyle w:val="Hyperlink"/>
            <w:rFonts w:ascii="David" w:hAnsi="David" w:eastAsia="Calibri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ז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עוגנו </w:t>
      </w:r>
      <w:r>
        <w:rPr>
          <w:rFonts w:ascii="David" w:hAnsi="David" w:eastAsia="Calibri"/>
          <w:b/>
          <w:b/>
          <w:bCs/>
          <w:rtl w:val="true"/>
        </w:rPr>
        <w:t xml:space="preserve">עונשים מזעריים </w:t>
      </w:r>
      <w:r>
        <w:rPr>
          <w:rFonts w:ascii="David" w:hAnsi="David" w:eastAsia="Calibri"/>
          <w:rtl w:val="true"/>
        </w:rPr>
        <w:t>הנוגעים לעבירות שעניינן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הובלה או סחר בנשק שלא כדין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בתיקון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העונש שיוטל על העבריין במקרים אלו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u w:val="single"/>
          <w:rtl w:val="true"/>
        </w:rPr>
        <w:t xml:space="preserve">לא יפחת </w:t>
      </w:r>
      <w:r>
        <w:rPr>
          <w:rFonts w:eastAsia="Calibri" w:cs="David" w:ascii="David" w:hAnsi="David"/>
          <w:u w:val="single"/>
          <w:rtl w:val="true"/>
        </w:rPr>
        <w:t xml:space="preserve">... </w:t>
      </w:r>
      <w:r>
        <w:rPr>
          <w:rFonts w:ascii="David" w:hAnsi="David" w:eastAsia="Calibri"/>
          <w:u w:val="single"/>
          <w:rtl w:val="true"/>
        </w:rPr>
        <w:t>מרבע העונש המרבי שנקבע לאותה עבירה</w:t>
      </w:r>
      <w:r>
        <w:rPr>
          <w:rFonts w:eastAsia="Calibri" w:cs="David" w:ascii="David" w:hAnsi="David"/>
          <w:u w:val="single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אלא אם כן החליט בית המשפט</w:t>
      </w:r>
      <w:r>
        <w:rPr>
          <w:rFonts w:eastAsia="Calibri" w:cs="David" w:ascii="David" w:hAnsi="David"/>
          <w:u w:val="single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מטעמים מיוחדים שיירשמו</w:t>
      </w:r>
      <w:r>
        <w:rPr>
          <w:rFonts w:eastAsia="Calibri" w:cs="David" w:ascii="David" w:hAnsi="David"/>
          <w:u w:val="single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להקל בעונשו</w:t>
      </w:r>
      <w:r>
        <w:rPr>
          <w:rFonts w:eastAsia="Calibri" w:cs="David" w:ascii="David" w:hAnsi="David"/>
          <w:u w:val="single"/>
          <w:rtl w:val="true"/>
        </w:rPr>
        <w:t>;.</w:t>
      </w:r>
      <w:r>
        <w:rPr>
          <w:rFonts w:eastAsia="Calibri" w:cs="David" w:ascii="David" w:hAnsi="David"/>
          <w:rtl w:val="true"/>
        </w:rPr>
        <w:t xml:space="preserve">.".  </w:t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-426"/>
        <w:jc w:val="both"/>
        <w:rPr/>
      </w:pP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להתייחס אל </w:t>
      </w:r>
      <w:r>
        <w:rPr>
          <w:rFonts w:ascii="David" w:hAnsi="David" w:eastAsia="Calibri"/>
          <w:b/>
          <w:b/>
          <w:bCs/>
          <w:rtl w:val="true"/>
        </w:rPr>
        <w:t xml:space="preserve">הנסיבות הקשורות לביצוע העבירה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אלו המצוינות </w:t>
      </w:r>
      <w:hyperlink r:id="rId28">
        <w:r>
          <w:rPr>
            <w:rStyle w:val="Hyperlink"/>
            <w:rFonts w:ascii="David" w:hAnsi="David" w:eastAsia="Calibri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-426"/>
        <w:jc w:val="both"/>
        <w:rPr>
          <w:rFonts w:ascii="David" w:hAnsi="David" w:eastAsia="Calibri" w:cs="David"/>
          <w:color w:val="FF0000"/>
        </w:rPr>
      </w:pPr>
      <w:r>
        <w:rPr>
          <w:rFonts w:ascii="David" w:hAnsi="David" w:eastAsia="Calibri"/>
          <w:rtl w:val="true"/>
        </w:rPr>
        <w:t>עובדות כתב האישום המתוקן מלמדות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כי עסקינן</w:t>
      </w:r>
      <w:r>
        <w:rPr>
          <w:rFonts w:ascii="Calibri" w:hAnsi="Calibri" w:eastAsia="Calibri" w:cs="Calibri"/>
          <w:rtl w:val="true"/>
        </w:rPr>
        <w:t xml:space="preserve"> בסיוע לאחר להוביל אקדח מסוג </w:t>
      </w:r>
      <w:r>
        <w:rPr>
          <w:rFonts w:eastAsia="Calibri" w:cs="Calibri" w:ascii="Calibri" w:hAnsi="Calibri"/>
        </w:rPr>
        <w:t>fn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>הטעון</w:t>
      </w:r>
      <w:r>
        <w:rPr>
          <w:rFonts w:ascii="Calibri" w:hAnsi="Calibri" w:eastAsia="Calibri" w:cs="Calibri"/>
          <w:rtl w:val="true"/>
        </w:rPr>
        <w:t xml:space="preserve"> ב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כדורים וכן בכמות לא מבוטלת של  </w:t>
      </w:r>
      <w:r>
        <w:rPr>
          <w:rFonts w:eastAsia="Calibri" w:cs="Calibri" w:ascii="Calibri" w:hAnsi="Calibri"/>
        </w:rPr>
        <w:t>46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כדורי אקדח נוספים בקוטר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המתאימים לשימוש באקדח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נתונים אלו בהחלט מלמדים על חומרה מוגברת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שכן הנשק להלכה ולמעשה היה במצב מוכנות לשימוש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כשלצדו כמות נכבדה של תחמושת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חלקו היחסי של הנאשם בביצוע העבירה אינו בלעדי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שכן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סייע לביצוע עבירות אלו אף הוא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הבין היטב את מעשיו ויכול והיה צריך להימנע מביצועם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למרבה המזל הנשק נתפס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שכן הנזק עלול היה להיות חמור יותר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אילו חלילה היה נעשה בו שימוש עתידי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בהתאם לעובדות כתב האישום המתוקן הנאשם עשה שימוש ברכב הקשור לחברת בדוי ובניו בע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מטבע הדברים ומאחר שעסקינן בעבירת סיוע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הרי שהנאשם מוחזק כמי שמצוי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במעגל החיצוני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לתכנון העבירה בניגוד למבצעה העיקרי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David" w:hAnsi="David" w:eastAsia="Calibri"/>
          <w:rtl w:val="true"/>
        </w:rPr>
        <w:t>הסיבות שהובילו את הנאשם לבצע את מעשיו נותרו עלומות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Calibri" w:ascii="Calibri" w:hAnsi="Calibri"/>
          <w:rtl w:val="true"/>
        </w:rPr>
        <w:t xml:space="preserve">  </w:t>
      </w:r>
    </w:p>
    <w:p>
      <w:pPr>
        <w:pStyle w:val="Normal"/>
        <w:spacing w:lineRule="auto" w:line="360" w:before="0" w:after="160"/>
        <w:ind w:end="-426"/>
        <w:jc w:val="both"/>
        <w:rPr/>
      </w:pPr>
      <w:r>
        <w:rPr>
          <w:rFonts w:ascii="David" w:hAnsi="David" w:eastAsia="Calibri"/>
          <w:rtl w:val="true"/>
        </w:rPr>
        <w:t>לאור כל המקובץ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לקבוע</w:t>
      </w:r>
      <w:r>
        <w:rPr>
          <w:rFonts w:ascii="David" w:hAnsi="David" w:eastAsia="Calibri"/>
          <w:b/>
          <w:b/>
          <w:bCs/>
          <w:rtl w:val="true"/>
        </w:rPr>
        <w:t xml:space="preserve"> מתחם ענישה בעניינו של הנאשם  אשר נע בין </w:t>
      </w:r>
      <w:r>
        <w:rPr>
          <w:rFonts w:eastAsia="Calibri" w:cs="David" w:ascii="David" w:hAnsi="David"/>
          <w:b/>
          <w:bCs/>
        </w:rPr>
        <w:t>10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לבין </w:t>
      </w:r>
      <w:r>
        <w:rPr>
          <w:rFonts w:eastAsia="Calibri" w:cs="David" w:ascii="David" w:hAnsi="David"/>
          <w:b/>
          <w:bCs/>
        </w:rPr>
        <w:t>22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ראוי לבחון מהו העונש המתאים לנאשם בשים לב </w:t>
      </w:r>
      <w:r>
        <w:rPr>
          <w:rFonts w:ascii="David" w:hAnsi="David"/>
          <w:b/>
          <w:b/>
          <w:bCs/>
          <w:rtl w:val="true"/>
        </w:rPr>
        <w:t>לנסיבות שאינן קשורות בביצוע העבירה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-567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-567"/>
        <w:jc w:val="both"/>
        <w:rPr/>
      </w:pPr>
      <w:r>
        <w:rPr>
          <w:rFonts w:ascii="David" w:hAnsi="David" w:eastAsia="Calibri"/>
          <w:rtl w:val="true"/>
        </w:rPr>
        <w:t xml:space="preserve">יש לזקוף לזכותו של הנאשם את </w:t>
      </w:r>
      <w:r>
        <w:rPr>
          <w:rFonts w:ascii="David" w:hAnsi="David" w:eastAsia="Calibri"/>
          <w:b/>
          <w:b/>
          <w:bCs/>
          <w:rtl w:val="true"/>
        </w:rPr>
        <w:t>החיסכון המשמעותי בזמן שיפוטי יקר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הנגזר מהודאתו ומנטילת האחריות מצידו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עברו הפלילי נקי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b/>
          <w:b/>
          <w:bCs/>
          <w:rtl w:val="true"/>
        </w:rPr>
        <w:t>עונש מאסר ממושך יפגע בנאשם ובאמו החולה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אזכיר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לא הופק תסקיר לעניין העונש בעניינו של הנאשם ומשכך לא קיימת המלצה שיקומית בעניינו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זאת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בהחלט התרשמתי  מעד האופי אשר העיד בעניינו ומרצינותו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במובן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נעלמו מעיניי דבריו הנוגעים לחריצותו ומקצועיותו של הנאשם וכן תרומתו לביטחון במסגרת עבודתו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-567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-567"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 xml:space="preserve">עוד סברתי כי בכגון דא בהחלט יש מקום להכליל בגדרי מתחם הענישה את השיקול שעניינו </w:t>
      </w:r>
      <w:r>
        <w:rPr>
          <w:rFonts w:ascii="David" w:hAnsi="David" w:eastAsia="Calibri"/>
          <w:b/>
          <w:b/>
          <w:bCs/>
          <w:rtl w:val="true"/>
        </w:rPr>
        <w:t>בהרתעת הרבים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בהתאם </w:t>
      </w:r>
      <w:hyperlink r:id="rId29">
        <w:r>
          <w:rPr>
            <w:rStyle w:val="Hyperlink"/>
            <w:rFonts w:ascii="David" w:hAnsi="David" w:eastAsia="Calibri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ז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>);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תוך העברת מסר לציבור הרחב שהתנהגות דומה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עבירות בנשק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אינה מקובלת במחוזותינו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254" w:before="0" w:after="160"/>
        <w:ind w:end="-567"/>
        <w:jc w:val="start"/>
        <w:rPr>
          <w:rFonts w:ascii="Calibri" w:hAnsi="Calibri" w:eastAsia="Calibri" w:cs="Arial"/>
          <w:sz w:val="22"/>
          <w:szCs w:val="22"/>
        </w:rPr>
      </w:pPr>
      <w:r>
        <w:rPr>
          <w:rFonts w:eastAsia="Calibri"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לאחר ששקלתי את כל השיקולים הדרושים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להטיל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overflowPunct w:val="false"/>
        <w:autoSpaceDE w:val="false"/>
        <w:spacing w:lineRule="auto" w:line="360" w:before="0" w:after="160"/>
        <w:ind w:hanging="360" w:start="1352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בפועל מיום מעצרו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overflowPunct w:val="false"/>
        <w:autoSpaceDE w:val="false"/>
        <w:spacing w:lineRule="auto" w:line="360" w:before="0" w:after="160"/>
        <w:ind w:hanging="360" w:start="1352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עבירות 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352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קנס 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ס </w:t>
      </w:r>
      <w:r>
        <w:rPr>
          <w:rFonts w:eastAsia="Calibri" w:cs="David" w:ascii="David" w:hAnsi="David"/>
        </w:rPr>
        <w:t>5000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שישולם ב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תשלומים שווים החל ביום </w:t>
      </w:r>
      <w:r>
        <w:rPr>
          <w:rFonts w:eastAsia="Calibri" w:cs="David" w:ascii="David" w:hAnsi="David"/>
        </w:rPr>
        <w:t>1.1.25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לאופן תשלום הקנס שנפסק לחובת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החוב מועבר למרכז לגביית קנסות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אגרות והוצאות ברשות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בהתאם למועד שנקבע לעיל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ניתן יהיה לשלם את הקנס כעבור שלושה ימים מיום מתן גזר הדין לחשבון המרכז לגביית קנסות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אגרות והוצאות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ברשות האכיפה והגבייה באחת מהדרכים הבאות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440"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בכרטיס אשראי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באתר המקוון של 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u w:val="single"/>
        </w:rPr>
        <w:t>www.eca.gov.il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440"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 xml:space="preserve">מוקד שירות טלפוני בשרות עצמי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מרכז גבייה</w:t>
      </w:r>
      <w:r>
        <w:rPr>
          <w:rFonts w:eastAsia="Calibri" w:cs="David" w:ascii="David" w:hAnsi="David"/>
          <w:b/>
          <w:bCs/>
          <w:rtl w:val="true"/>
        </w:rPr>
        <w:t xml:space="preserve">)  - </w:t>
      </w:r>
      <w:r>
        <w:rPr>
          <w:rFonts w:ascii="David" w:hAnsi="David" w:eastAsia="Calibri"/>
          <w:b/>
          <w:b/>
          <w:bCs/>
          <w:rtl w:val="true"/>
        </w:rPr>
        <w:t xml:space="preserve">בטלפון </w:t>
      </w:r>
      <w:r>
        <w:rPr>
          <w:rFonts w:eastAsia="Calibri" w:cs="David" w:ascii="David" w:hAnsi="David"/>
          <w:b/>
          <w:bCs/>
        </w:rPr>
        <w:t>35592</w:t>
      </w:r>
      <w:r>
        <w:rPr>
          <w:rFonts w:eastAsia="Calibri" w:cs="David" w:ascii="David" w:hAnsi="David"/>
          <w:b/>
          <w:bCs/>
          <w:rtl w:val="true"/>
        </w:rPr>
        <w:t xml:space="preserve">* </w:t>
      </w:r>
      <w:r>
        <w:rPr>
          <w:rFonts w:ascii="David" w:hAnsi="David" w:eastAsia="Calibri"/>
          <w:b/>
          <w:b/>
          <w:bCs/>
          <w:rtl w:val="true"/>
        </w:rPr>
        <w:t xml:space="preserve">או בטלפון </w:t>
      </w:r>
      <w:r>
        <w:rPr>
          <w:rFonts w:eastAsia="Calibri" w:cs="David" w:ascii="David" w:hAnsi="David"/>
          <w:b/>
          <w:bCs/>
        </w:rPr>
        <w:t>073-2055000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1440"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במזומן בכל סניף של בנק הדואר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בהצגת תעודת זהות בלבד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אין צורך בשוברי תשלום</w:t>
      </w:r>
      <w:r>
        <w:rPr>
          <w:rFonts w:eastAsia="Calibri" w:cs="David" w:ascii="David" w:hAnsi="David"/>
          <w:rtl w:val="true"/>
        </w:rPr>
        <w:t>)".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כאן המקום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בהתאם להסכמות הצדדים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דיון מיום </w:t>
      </w:r>
      <w:r>
        <w:rPr>
          <w:rFonts w:cs="David" w:ascii="David" w:hAnsi="David"/>
        </w:rPr>
        <w:t>17.9.24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סוגיית חילוט הרכב הנכלל בכתב האישום תידון במסגרתו של הדיון בעניינו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שתינתן לבעלי הרכב האפשרות להתייצב לדיון הבא בהקשר זה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eastAsia="Calibri"/>
          <w:rtl w:val="true"/>
        </w:rPr>
        <w:t>הנשק והאביזרים יושמדו לאחר שגזר דינם של כל הנאשמים בפרשה זו יהפוך לחלוט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זכות ערעור כחוק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cs="Arial" w:ascii="Arial" w:hAnsi="Arial"/>
          <w:b/>
          <w:bCs/>
          <w:color w:val="FFFFFF"/>
          <w:sz w:val="26"/>
          <w:szCs w:val="26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tbl>
      <w:tblPr>
        <w:bidiVisual w:val="true"/>
        <w:tblW w:w="3936" w:type="dxa"/>
        <w:jc w:val="start"/>
        <w:tblInd w:w="20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1410-03-24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עקאב אלנסאסרה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352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.3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g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8384637" TargetMode="External"/><Relationship Id="rId14" Type="http://schemas.openxmlformats.org/officeDocument/2006/relationships/hyperlink" Target="http://www.nevo.co.il/case/26905927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6934681" TargetMode="External"/><Relationship Id="rId17" Type="http://schemas.openxmlformats.org/officeDocument/2006/relationships/hyperlink" Target="http://www.nevo.co.il/case/21771409" TargetMode="External"/><Relationship Id="rId18" Type="http://schemas.openxmlformats.org/officeDocument/2006/relationships/hyperlink" Target="http://www.nevo.co.il/case/22690203" TargetMode="External"/><Relationship Id="rId19" Type="http://schemas.openxmlformats.org/officeDocument/2006/relationships/hyperlink" Target="http://www.nevo.co.il/case/28883087" TargetMode="External"/><Relationship Id="rId20" Type="http://schemas.openxmlformats.org/officeDocument/2006/relationships/hyperlink" Target="http://www.nevo.co.il/case/29677445" TargetMode="External"/><Relationship Id="rId21" Type="http://schemas.openxmlformats.org/officeDocument/2006/relationships/hyperlink" Target="http://www.nevo.co.il/case/30681902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3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2.3" TargetMode="External"/><Relationship Id="rId27" Type="http://schemas.openxmlformats.org/officeDocument/2006/relationships/hyperlink" Target="http://www.nevo.co.il/law/70301/144.g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/40g" TargetMode="External"/><Relationship Id="rId30" Type="http://schemas.openxmlformats.org/officeDocument/2006/relationships/hyperlink" Target="http://www.nevo.co.il/law/70301/14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2024-10-04T11:42:00Z</dcterms:created>
  <dc:creator> </dc:creator>
  <dc:description/>
  <cp:keywords/>
  <dc:language>en-IL</dc:language>
  <cp:lastModifiedBy>orly</cp:lastModifiedBy>
  <dcterms:modified xsi:type="dcterms:W3CDTF">2024-10-04T11:42:00Z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עקאב אלנסאסרה;וענונו אזברגה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28384637;26905927;26934681;21771409;22690203;28883087;29677445;30681902</vt:lpwstr>
  </property>
  <property fmtid="{D5CDD505-2E9C-101B-9397-08002B2CF9AE}" pid="9" name="CITY">
    <vt:lpwstr>חי'</vt:lpwstr>
  </property>
  <property fmtid="{D5CDD505-2E9C-101B-9397-08002B2CF9AE}" pid="10" name="DATE">
    <vt:lpwstr>20240926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70301/144.b:2;031:2;032.3;144.g;040i;040g;144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1410</vt:lpwstr>
  </property>
  <property fmtid="{D5CDD505-2E9C-101B-9397-08002B2CF9AE}" pid="23" name="NEWPARTB">
    <vt:lpwstr>03</vt:lpwstr>
  </property>
  <property fmtid="{D5CDD505-2E9C-101B-9397-08002B2CF9AE}" pid="24" name="NEWPARTC">
    <vt:lpwstr>24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1446;15670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מכת מדינה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13800;15672</vt:lpwstr>
  </property>
  <property fmtid="{D5CDD505-2E9C-101B-9397-08002B2CF9AE}" pid="59" name="PADIDATE">
    <vt:lpwstr>20241006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390020240926</vt:lpwstr>
  </property>
  <property fmtid="{D5CDD505-2E9C-101B-9397-08002B2CF9AE}" pid="69" name="TYPE_N_DATE">
    <vt:lpwstr>39020240926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