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733"/>
        <w:gridCol w:w="298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Arial" w:hAnsi="Arial" w:cs="Arial"/>
                <w:color w:val="000080"/>
              </w:rPr>
            </w:pPr>
            <w:bookmarkStart w:id="0" w:name="LastJudge"/>
            <w:bookmarkEnd w:id="0"/>
            <w:r>
              <w:rPr>
                <w:rFonts w:ascii="Arial" w:hAnsi="Arial" w:cs="Arial"/>
                <w:b/>
                <w:b/>
                <w:bCs/>
                <w:color w:val="00008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5733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14149-12-11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נ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מנצור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988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Fonts w:cs="Arial" w:ascii="Arial" w:hAnsi="Arial"/>
                <w:b/>
                <w:bCs/>
                <w:sz w:val="28"/>
                <w:szCs w:val="28"/>
              </w:rPr>
              <w:t>2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7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פברואר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 ורדה מרוז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רדא ענבוסי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וארד מנצור</w:t>
            </w: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 איהאב 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לג</w:t>
            </w:r>
            <w:r>
              <w:rPr>
                <w:rFonts w:cs="Arial" w:ascii="Arial" w:hAnsi="Arial"/>
                <w:b/>
                <w:bCs/>
                <w:rtl w:val="true"/>
              </w:rPr>
              <w:t>'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ולי</w:t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566" w:leader="none"/>
        </w:tabs>
        <w:spacing w:lineRule="auto" w:line="360" w:before="0" w:after="240"/>
        <w:ind w:end="0"/>
        <w:jc w:val="start"/>
        <w:rPr/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כללי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bookmarkStart w:id="10" w:name="ABSTRACT_START"/>
      <w:bookmarkEnd w:id="10"/>
      <w:r>
        <w:rPr>
          <w:rFonts w:ascii="Arial" w:hAnsi="Arial" w:cs="Arial"/>
          <w:rtl w:val="true"/>
        </w:rPr>
        <w:t>הנאשם הורשע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שעניינה נשיאת נשק ותחמושת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 </w:t>
      </w:r>
      <w:hyperlink r:id="rId4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 xml:space="preserve"> 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וסיפא ל</w:t>
      </w:r>
      <w:hyperlink r:id="rId5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bookmarkStart w:id="11" w:name="ABSTRACT_END"/>
      <w:bookmarkEnd w:id="11"/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22.10.11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14:45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לערך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בטירה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נסע הנאשם ברכב בו נהג אחר בשם מחמוד מנסור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האחר</w:t>
      </w:r>
      <w:r>
        <w:rPr>
          <w:rFonts w:cs="Arial" w:ascii="Arial" w:hAnsi="Arial"/>
          <w:rtl w:val="true"/>
        </w:rPr>
        <w:t xml:space="preserve">"). </w:t>
      </w:r>
      <w:r>
        <w:rPr>
          <w:rFonts w:ascii="Arial" w:hAnsi="Arial" w:cs="Arial"/>
          <w:rtl w:val="true"/>
        </w:rPr>
        <w:t>אותה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נשא הנאשם אקדח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טעון במחסנית ובה שמונה כדורים תואמים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ניידת משטרה שנסעה בעקבות הרכב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כרזה לנהג לעצור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זה לא שעה להוראה והמשיך בנסיעה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כשנעצר 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 ממנו הנאשם ובידו האקדח ונמלט מהמקום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המשטרה בעקבותיו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מנוסתו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השליך הנאשם את האקדח</w:t>
      </w:r>
      <w:r>
        <w:rPr>
          <w:rFonts w:ascii="Arial" w:hAnsi="Arial" w:cs="Arial"/>
          <w:rtl w:val="true"/>
        </w:rPr>
        <w:t xml:space="preserve"> ועקבותיו נעלמו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אותר על ידי המשטרה כחודש וחצי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6.12.11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הסדר הטיעון כלל הסדר עונשי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לפיו עתרה המאשימה לעונש מאסר לתקופה של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לצד מאסר על תנאי וקנס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הסנגור טען באורח חופשי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 w:before="0" w:after="240"/>
        <w:ind w:start="566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על הנאשם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1988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רווק תושב טירה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למשפחה נורמטיבית המונה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נפשות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אביו עצמאי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חנות למוצרי חשמל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אמו עקרת 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לנאשם תואר ראשון במשפטים והוא עבר בהצלחה את מבחני לשכת עורכי הדין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עובר למעצרו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למד הנאשם לתואר השני באוניברסיטת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בר אילן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התנדב בארגונים שונים ואף זכה מהם לתעודות הוקרה והערכה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נעדר עבר פלילי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ערך תסקיר אודות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ממנו עולה כי הנאשם התקשה לחשוף בפניו את נסיבות ביצוע העבירה והגורמים שעמדו ברקע לביצועה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הסתפק בהצהרה לאקונית לפיה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סייע לאחר וגרס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כלל לא ידע שהאחר החזיק ברשותו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שלל מעורבות בחברה שולית או בקבוצה בעלת גוון פוליטי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הביע  חרטה על ביצוע העבירה וצער על הסבל והבושה שהסב למשפחתו עקב הסתבכותו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אלו ובהעדר נתונים נוספים אודות העבירה ונסיבות ביצועה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הצליח שירות המבחן לעמוד על הפער שבין התנהגותו הנורמטיבית של הנאשם דרך 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לבין ביצוע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נמנע מהמלצה בעניינו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הראיות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העיד אביו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שהטעים כי דאג להנחיל לילדיו חינוך והשכלה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שתי בנותיו נושאות בתארים אקדמאיים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לומדות לקראתם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אף הנאשם ובנו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לומד במכינה ללימודי רפואה באוניברסיטת חיפה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האב 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חינך את ילדיו לתרום לקהילה וכי הסתבכותו של הנאשם הינה חריג בחיי משפחתו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בבחינת מעידה חד פעמית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הסתיימה בלא נזק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האב הטעים את סבלו ואת סבל רעייתו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עקב מעצרו של הנאשם ושהייתו בקרב חברה עבריינית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האב עתר להסתפק בתקופת המעצר שריצה הנאשם כדי לאפשר לו לפתוח בדף חדש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</w:tabs>
        <w:spacing w:lineRule="auto" w:line="360" w:before="0" w:after="240"/>
        <w:ind w:start="566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רדא ענבוסי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 על החומרה שבמעשי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נשא על גופו אקדח ובו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בעודו נוסע בחוצות העיר טירה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ברח והשליך את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עמד על הסכנה הטמונה בעצם החזקתו ונשיאתו נשק ללא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שמא ייעשה בו שימוש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על רקע פלילי ובין על רקע אידיאולוגי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בהינתן נפיצותן של עבירות הנשק בשנים האחרונות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בפרט במגזר הערבי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גרס התובע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שומה על בית המשפט ליטול חלק במיגור התופעה ולהטיל על הנאשם עונש כבד ומרתיע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הדגיש את ההחמרה שחלה במדיניות הענישה בעבירות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נסיבות אישיות של נאשמים נסוגות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 מול האינטרס הציבורי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דווקא על שום ההשכלה שרכש הנאשם וכוונתו לעסוק בעריכת 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שומה היה עליו לדבוק בחוק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להגן עליו ולא לרמוס אותו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הימנעות הנאשם מחשיפת הרקע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העדר המלצה מטעם שירות המבחן –   נזקפים לחובתו בשיקולי הענישה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 הגיש פסיקה התומכת בטיעוניו וטען כי העונש המבוקש מאזן נכונה בין 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הודייתו בעבירה ועברו הנקי לבין האינטרס הציבורי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איהאב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לג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עתר להסתפק בתקופת מעצרו של הנאשם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כשלושה חודשים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ולהימנע מהשתת מאסר נוסף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לשיטתו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 העבירה מצויות במדרג חומרה נמוך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ביחס לעבירות נשק ומלכתחילה היה נכון להגיש את כתב האישום לבית משפט השלום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בית המשפט המוסמך לדון בעבירות אלו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לביסוס טיעוניו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הגיש הסנגור כתבי אישום העוסקים במקרים חמורים מזה אשר בפנינו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בגינם הוגשו כתבי אישום לבתי המשפט השלום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הטעים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המדובר במעידה חד פעמית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שאינה מאפיינת את דפוסי התנהגותו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כן ביקש להתחשב בהודייתו בהזדמנות הראשונה ובחרטתו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בעובדה שהינו בן למשפחה טובה ותומכת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תסייע בשיקומו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בתגובה לטיעוני התובע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לזקוף לחומרא את השכלתו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נהפוך 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בגדר החינוך שקיבל והיותו אדם משכיל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הנאשם פעיל בקהילה ותרם לעמותות וארגונים שונים וביניהם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נוה טירה</w:t>
      </w:r>
      <w:r>
        <w:rPr>
          <w:rFonts w:cs="Arial" w:ascii="Arial" w:hAnsi="Arial"/>
          <w:rtl w:val="true"/>
        </w:rPr>
        <w:t xml:space="preserve">" – </w:t>
      </w:r>
      <w:r>
        <w:rPr>
          <w:rFonts w:ascii="Arial" w:hAnsi="Arial" w:cs="Arial"/>
          <w:rtl w:val="true"/>
        </w:rPr>
        <w:t>מרכז סיעודי לגיל הזהב 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עמותת אלפטאם</w:t>
      </w:r>
      <w:r>
        <w:rPr>
          <w:rFonts w:cs="Arial" w:ascii="Arial" w:hAnsi="Arial"/>
          <w:rtl w:val="true"/>
        </w:rPr>
        <w:t xml:space="preserve">" – </w:t>
      </w:r>
      <w:r>
        <w:rPr>
          <w:rFonts w:ascii="Arial" w:hAnsi="Arial" w:cs="Arial"/>
          <w:rtl w:val="true"/>
        </w:rPr>
        <w:t>עמותה וקהילה טיפולית לטיפול בנפגעי התמכרויות ושיקום אסירים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הגיש פסיקה התומכת בטיעוניו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rtl w:val="true"/>
        </w:rPr>
        <w:t>הנאשם הביע חרטה וצער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הדגיש כי לא גרם לנזק וכי אין הוא עבריין אלא בן למשפחה מכובדת ומתורבתת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</w:tabs>
        <w:spacing w:lineRule="auto" w:line="360" w:before="0" w:after="240"/>
        <w:ind w:start="26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u w:val="single"/>
          <w:rtl w:val="true"/>
        </w:rPr>
        <w:t>דיון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סוגיהן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חמורות מעצם טיבן ומהותן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פוטנציאל הסיכון הרב הנשקף מהן לחיי אדם ולביטחון הציבור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בנקל ניתן להעביר נשק לגורמים המבקשים לעשות בו שימוש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על רקע פלילי ובין בטחוני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ההסלמה בעבירות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 בתי המשפט חובה ליטול חלק במאבק למיגורן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tabs>
          <w:tab w:val="clear" w:pos="720"/>
          <w:tab w:val="left" w:pos="566" w:leader="none"/>
        </w:tabs>
        <w:ind w:start="1466" w:end="90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אין חולק כי הענישה בעבירות אלה צריכה לבטא את הסיכון הפוטנציאלי הטמון בכך שנשק מוחזק שלא כדין על ידי מי שלא עבר את הבדיקות המקדמיות למתן רישיון לנשיאת נשק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לא הוכשר לשימוש בנשק וממילא גם מוחזק כמי שאינו מיומן בו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...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יש ליתן משקל בכל מקרה לסיכון הגלום בכך שנשק בעל פוטנציאל קטילה מוחזק מבלי שיש עליו ועל בעליו פיקוח מוסדר של הרשויות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כאשר המחזיק נתון תמיד לסיכון שיתפתה לעשות שימוש בנשק ולו ברגעי לחץ ופחד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" </w:t>
      </w:r>
      <w:r>
        <w:rPr>
          <w:rFonts w:cs="Arial" w:ascii="Arial" w:hAnsi="Arial"/>
          <w:sz w:val="22"/>
          <w:szCs w:val="22"/>
          <w:rtl w:val="true"/>
        </w:rPr>
        <w:t>[</w:t>
      </w:r>
      <w:hyperlink r:id="rId6">
        <w:r>
          <w:rPr>
            <w:rStyle w:val="Hyperlink"/>
            <w:rFonts w:ascii="Arial" w:hAnsi="Arial" w:cs="Arial"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Arial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Arial"/>
            <w:sz w:val="22"/>
            <w:sz w:val="22"/>
            <w:szCs w:val="22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2"/>
            <w:szCs w:val="22"/>
          </w:rPr>
          <w:t>3300/06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אבו סנינה נ</w:t>
      </w:r>
      <w:r>
        <w:rPr>
          <w:rFonts w:cs="Arial" w:ascii="Arial" w:hAnsi="Arial"/>
          <w:b/>
          <w:bCs/>
          <w:sz w:val="22"/>
          <w:szCs w:val="22"/>
          <w:rtl w:val="true"/>
        </w:rPr>
        <w:t>'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cs="Arial" w:ascii="Arial" w:hAnsi="Arial"/>
          <w:sz w:val="22"/>
          <w:szCs w:val="22"/>
          <w:rtl w:val="true"/>
        </w:rPr>
        <w:t>]</w:t>
      </w:r>
      <w:r>
        <w:rPr>
          <w:rFonts w:cs="Arial" w:ascii="Arial" w:hAnsi="Arial"/>
          <w:sz w:val="22"/>
          <w:szCs w:val="22"/>
          <w:rtl w:val="true"/>
        </w:rPr>
        <w:t>.</w:t>
      </w:r>
    </w:p>
    <w:p>
      <w:pPr>
        <w:pStyle w:val="Style14"/>
        <w:tabs>
          <w:tab w:val="clear" w:pos="720"/>
          <w:tab w:val="left" w:pos="566" w:leader="none"/>
        </w:tabs>
        <w:spacing w:lineRule="auto" w:line="360"/>
        <w:ind w:start="1466" w:end="90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בבואו לגזור את דינו של 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שומה על בית המשפט לערוך את האיזון הראוי בין האינטרס הציבורי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המבטא את הצורך בגמול והרתעה לבין נסיבות ביצוע העבירה ומבצעה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שמדובר בנאשם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בן טובים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חונך לתרום לקהילה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רכש השכלה גבוהה ועבר את מבחני לשכת עורכי הדין 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 בלימודי תואר 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שמטעמים השמורים עמו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בחר הנאשם להותיר בערפל את נסיבות ביצוע העבירה ובלא הסבר לפשר הסתבכותו בביצועה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לפיהם לא ידע על הימצא האקדח עד אשר הגיע לידיו אינם מתיישבים עם המציאות והשכל הישר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מוחזק הנאשם כמי שהחזיק בנשק למטרות לא כשרות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firstLine="540" w:start="26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 w:before="0" w:after="240"/>
        <w:ind w:firstLine="540" w:start="26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firstLine="540" w:start="26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לעניין זה ראה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before="0" w:after="240"/>
        <w:ind w:start="1440" w:end="72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ההיגיון מחייב כי מי שכוונותיו טובות והנשק דרוש לו למטרות כשרות ומותרות על פי דין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יטרח ויצטייד ברישיון מהרשות המוסמכת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ולהיפך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מקום שאדם נמצא מחזיק בנשק כשהוא טעון במחסנית ובתחמושת וללא רישיון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מותר להניח לחובתו כי הוא עושה זאת למטרות לא כשרות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במיוחד כאשר הוא אינו מציע לכך הסבר אשר יניח את דעתו של בית המשפט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". </w:t>
      </w:r>
      <w:r>
        <w:rPr>
          <w:rFonts w:cs="Arial" w:ascii="Arial" w:hAnsi="Arial"/>
          <w:sz w:val="22"/>
          <w:szCs w:val="22"/>
          <w:rtl w:val="true"/>
        </w:rPr>
        <w:t>[</w:t>
      </w:r>
      <w:hyperlink r:id="rId7">
        <w:r>
          <w:rPr>
            <w:rStyle w:val="Hyperlink"/>
            <w:rFonts w:ascii="Arial" w:hAnsi="Arial" w:cs="Arial"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Arial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Arial"/>
            <w:sz w:val="22"/>
            <w:sz w:val="22"/>
            <w:szCs w:val="22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2"/>
            <w:szCs w:val="22"/>
          </w:rPr>
          <w:t>761/07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מדינת ישראל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מיכאל אדרי</w:t>
      </w:r>
      <w:r>
        <w:rPr>
          <w:rFonts w:cs="Arial" w:ascii="Arial" w:hAnsi="Arial"/>
          <w:sz w:val="22"/>
          <w:szCs w:val="22"/>
          <w:rtl w:val="true"/>
        </w:rPr>
        <w:t>].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 w:val="true"/>
        </w:rPr>
        <w:t>דרך המלך בעבירות נשק היא הטלת עונש מאסר לריצוי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כאשר מדובר בנאשם ללא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נקבע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tabs>
          <w:tab w:val="clear" w:pos="720"/>
          <w:tab w:val="left" w:pos="7406" w:leader="none"/>
        </w:tabs>
        <w:spacing w:before="0" w:after="240"/>
        <w:ind w:start="1466" w:end="900"/>
        <w:jc w:val="both"/>
        <w:rPr/>
      </w:pP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יוער כי הסכנה הטמונה בעבירה החמורה של החזקת נשק מצדיקה הטלת עונשי מאסר לריצוי בפועל גם על מי שזו עבירתו הראשונה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בבוא בית</w:t>
      </w:r>
      <w:r>
        <w:rPr>
          <w:rFonts w:cs="Arial" w:ascii="Arial" w:hAnsi="Arial"/>
          <w:b/>
          <w:bCs/>
          <w:sz w:val="22"/>
          <w:szCs w:val="22"/>
          <w:rtl w:val="true"/>
        </w:rPr>
        <w:t>-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המשפט לשקול את הענישה בעבירות מסוג זה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עליו לתת משקל נכבד יותר לאינטרס הציבורי ולצורך להרתיע עבריינים בכוח מלבצע עבירות דומות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על פני הנסיבות האישיות של העבריין</w:t>
      </w:r>
      <w:r>
        <w:rPr>
          <w:rFonts w:cs="Arial" w:ascii="Arial" w:hAnsi="Arial"/>
          <w:sz w:val="22"/>
          <w:szCs w:val="22"/>
          <w:rtl w:val="true"/>
        </w:rPr>
        <w:t>". (</w:t>
      </w:r>
      <w:hyperlink r:id="rId8">
        <w:r>
          <w:rPr>
            <w:rStyle w:val="Hyperlink"/>
            <w:rFonts w:ascii="Arial" w:hAnsi="Arial" w:cs="Arial"/>
            <w:sz w:val="22"/>
            <w:sz w:val="22"/>
            <w:szCs w:val="22"/>
            <w:rtl w:val="true"/>
          </w:rPr>
          <w:t>רע</w:t>
        </w:r>
        <w:r>
          <w:rPr>
            <w:rStyle w:val="Hyperlink"/>
            <w:rFonts w:cs="Arial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Arial"/>
            <w:sz w:val="22"/>
            <w:sz w:val="22"/>
            <w:szCs w:val="22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2"/>
            <w:szCs w:val="22"/>
          </w:rPr>
          <w:t>2718/04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אבו דאחל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 </w:t>
      </w:r>
      <w:r>
        <w:rPr>
          <w:rFonts w:cs="Arial" w:ascii="Arial" w:hAnsi="Arial"/>
          <w:sz w:val="22"/>
          <w:szCs w:val="22"/>
          <w:rtl w:val="true"/>
        </w:rPr>
        <w:t>[</w:t>
      </w:r>
      <w:r>
        <w:rPr>
          <w:rFonts w:ascii="Arial" w:hAnsi="Arial" w:cs="Arial"/>
          <w:sz w:val="22"/>
          <w:sz w:val="22"/>
          <w:szCs w:val="22"/>
          <w:rtl w:val="true"/>
        </w:rPr>
        <w:t>פורסם בפדאור</w:t>
      </w:r>
      <w:r>
        <w:rPr>
          <w:rFonts w:cs="Arial" w:ascii="Arial" w:hAnsi="Arial"/>
          <w:sz w:val="22"/>
          <w:szCs w:val="22"/>
          <w:rtl w:val="true"/>
        </w:rPr>
        <w:t>] (</w:t>
      </w:r>
      <w:r>
        <w:rPr>
          <w:rFonts w:cs="Arial" w:ascii="Arial" w:hAnsi="Arial"/>
          <w:sz w:val="22"/>
          <w:szCs w:val="22"/>
        </w:rPr>
        <w:t>2004</w:t>
      </w:r>
      <w:r>
        <w:rPr>
          <w:rFonts w:cs="Arial" w:ascii="Arial" w:hAnsi="Arial"/>
          <w:sz w:val="22"/>
          <w:szCs w:val="22"/>
          <w:rtl w:val="true"/>
        </w:rPr>
        <w:t>)).</w:t>
      </w:r>
    </w:p>
    <w:p>
      <w:pPr>
        <w:pStyle w:val="Style14"/>
        <w:tabs>
          <w:tab w:val="clear" w:pos="720"/>
          <w:tab w:val="left" w:pos="566" w:leader="none"/>
        </w:tabs>
        <w:spacing w:lineRule="auto" w:line="360" w:before="0" w:after="120"/>
        <w:ind w:end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 w:val="24"/>
          <w:szCs w:val="24"/>
          <w:rtl w:val="true"/>
        </w:rPr>
        <w:t>וכן</w:t>
      </w:r>
      <w:r>
        <w:rPr>
          <w:rFonts w:cs="Arial" w:ascii="Arial" w:hAnsi="Arial"/>
          <w:sz w:val="24"/>
          <w:szCs w:val="24"/>
          <w:rtl w:val="true"/>
        </w:rPr>
        <w:t>:</w:t>
      </w:r>
    </w:p>
    <w:p>
      <w:pPr>
        <w:pStyle w:val="Style14"/>
        <w:tabs>
          <w:tab w:val="clear" w:pos="720"/>
          <w:tab w:val="left" w:pos="1466" w:leader="none"/>
          <w:tab w:val="left" w:pos="7406" w:leader="none"/>
        </w:tabs>
        <w:spacing w:lineRule="auto" w:line="240" w:before="0" w:after="240"/>
        <w:ind w:start="1469" w:end="902"/>
        <w:jc w:val="both"/>
        <w:rPr/>
      </w:pP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דרך המלך בכגון דא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בסופו של יום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צריכה להיות ככלל מאסר מאחורי סורג ובריח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וזאת בראש וראשונה להרתעת היחיד והרבים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;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אורך התקופה כרוך כמובן בנסיבות הספציפיות של העושה והמעשה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אכן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ערים אנו לכך שלאדם בעל רקע נורמטיבי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וכזה הוא המערער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שהות במאסר אינה קלה כל עיקר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ובהיותו במעצר חוה מקצת הטעם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אך נשק הוא נשק הוא נשק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ובנסיבות הישראליות נשק בידיים לא מורשות עלול להתגלגל למקום לא טוב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וכדברי האומר 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מחזה שבמערכתו הראשונה נראה אקדח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עשוי האקדח לירות במערכה האחרונה</w:t>
      </w:r>
      <w:r>
        <w:rPr>
          <w:rFonts w:cs="Arial" w:ascii="Arial" w:hAnsi="Arial"/>
          <w:b/>
          <w:bCs/>
          <w:sz w:val="22"/>
          <w:szCs w:val="22"/>
          <w:rtl w:val="true"/>
        </w:rPr>
        <w:t>";</w:t>
      </w:r>
      <w:r>
        <w:rPr>
          <w:rFonts w:cs="Arial" w:ascii="Arial" w:hAnsi="Arial"/>
          <w:sz w:val="22"/>
          <w:szCs w:val="22"/>
          <w:rtl w:val="true"/>
        </w:rPr>
        <w:t>". (</w:t>
      </w:r>
      <w:hyperlink r:id="rId9">
        <w:r>
          <w:rPr>
            <w:rStyle w:val="Hyperlink"/>
            <w:rFonts w:ascii="Arial" w:hAnsi="Arial" w:cs="Arial"/>
            <w:sz w:val="22"/>
            <w:sz w:val="22"/>
            <w:szCs w:val="22"/>
            <w:rtl w:val="true"/>
          </w:rPr>
          <w:t>ע</w:t>
        </w:r>
        <w:r>
          <w:rPr>
            <w:rStyle w:val="Hyperlink"/>
            <w:rFonts w:cs="Arial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Arial"/>
            <w:sz w:val="22"/>
            <w:sz w:val="22"/>
            <w:szCs w:val="22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2"/>
            <w:szCs w:val="22"/>
          </w:rPr>
          <w:t>5220/09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עוואודה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מדינת ישראל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 </w:t>
      </w:r>
      <w:r>
        <w:rPr>
          <w:rFonts w:cs="Arial" w:ascii="Arial" w:hAnsi="Arial"/>
          <w:sz w:val="22"/>
          <w:szCs w:val="22"/>
          <w:rtl w:val="true"/>
        </w:rPr>
        <w:t>[</w:t>
      </w:r>
      <w:r>
        <w:rPr>
          <w:rFonts w:ascii="Arial" w:hAnsi="Arial" w:cs="Arial"/>
          <w:sz w:val="22"/>
          <w:sz w:val="22"/>
          <w:szCs w:val="22"/>
          <w:rtl w:val="true"/>
        </w:rPr>
        <w:t>פורסם בפדאור</w:t>
      </w:r>
      <w:r>
        <w:rPr>
          <w:rFonts w:cs="Arial" w:ascii="Arial" w:hAnsi="Arial"/>
          <w:sz w:val="22"/>
          <w:szCs w:val="22"/>
          <w:rtl w:val="true"/>
        </w:rPr>
        <w:t>] (</w:t>
      </w:r>
      <w:r>
        <w:rPr>
          <w:rFonts w:cs="Arial" w:ascii="Arial" w:hAnsi="Arial"/>
          <w:sz w:val="22"/>
          <w:szCs w:val="22"/>
        </w:rPr>
        <w:t>2009</w:t>
      </w:r>
      <w:r>
        <w:rPr>
          <w:rFonts w:cs="Arial" w:ascii="Arial" w:hAnsi="Arial"/>
          <w:sz w:val="22"/>
          <w:szCs w:val="22"/>
          <w:rtl w:val="true"/>
        </w:rPr>
        <w:t>)).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240" w:after="240"/>
        <w:ind w:hanging="539" w:start="567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הנה כי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לא השכיל להציג טעם המצדיק חריגה ממדיניות הענישה הרווחת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נהפוך הוא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הוא לא שיתף פעולה עם שירות המבחן אלא באורח חלקי ולראייה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העדר המלצה מטעם שרות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אף לא נטל אחריות של ממש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את עיקר האחריות לביצועה השליך על האחר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שנמנע מלמסור פרטים הכיצד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לזקוף לזכותו את הודייתו בעבירה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גילו הצעיר ועברו הנקי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העובדה שמדובר במאסר ראשון 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הצער והחרטה שהביע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540" w:start="566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גוזרת על הנאשם את העונשים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36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בניכוי ימי מעצרו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36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מאסר על תנאי לתקופת בת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שלא יעבור עבירת נשק כלשהי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566" w:leader="none"/>
        </w:tabs>
        <w:spacing w:lineRule="auto" w:line="360" w:before="0" w:after="240"/>
        <w:ind w:hanging="36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קנס בסך </w:t>
      </w:r>
      <w:r>
        <w:rPr>
          <w:rFonts w:cs="Arial" w:ascii="Arial" w:hAnsi="Arial"/>
        </w:rPr>
        <w:t>10,000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משפט 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אדר התשע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ורדה מרוז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14149-12-11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וארד מנצור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b w:val="false"/>
        <w:bCs w:val="false"/>
      </w:rPr>
    </w:lvl>
    <w:lvl w:ilvl="1">
      <w:start w:val="1"/>
      <w:numFmt w:val="hebrew1"/>
      <w:lvlText w:val="%2."/>
      <w:lvlJc w:val="center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צטוט"/>
    <w:basedOn w:val="Normal"/>
    <w:qFormat/>
    <w:pPr>
      <w:spacing w:lineRule="auto" w:line="480"/>
      <w:ind w:hanging="0" w:start="567" w:end="567"/>
      <w:jc w:val="both"/>
    </w:pPr>
    <w:rPr>
      <w:sz w:val="3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b.b" TargetMode="External"/><Relationship Id="rId4" Type="http://schemas.openxmlformats.org/officeDocument/2006/relationships/hyperlink" Target="http://www.nevo.co.il/law/70301/144b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887664" TargetMode="External"/><Relationship Id="rId7" Type="http://schemas.openxmlformats.org/officeDocument/2006/relationships/hyperlink" Target="http://www.nevo.co.il/case/5724364" TargetMode="External"/><Relationship Id="rId8" Type="http://schemas.openxmlformats.org/officeDocument/2006/relationships/hyperlink" Target="http://www.nevo.co.il/case/5852404" TargetMode="External"/><Relationship Id="rId9" Type="http://schemas.openxmlformats.org/officeDocument/2006/relationships/hyperlink" Target="http://www.nevo.co.il/case/6000182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2016-03-27T14:37:00Z</dcterms:created>
  <dc:creator> </dc:creator>
  <dc:description/>
  <cp:keywords/>
  <dc:language>en-IL</dc:language>
  <cp:lastModifiedBy>run</cp:lastModifiedBy>
  <dcterms:modified xsi:type="dcterms:W3CDTF">2016-03-27T14:37:00Z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וארד מנצור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5887664;5724364;5852404;6000182</vt:lpwstr>
  </property>
  <property fmtid="{D5CDD505-2E9C-101B-9397-08002B2CF9AE}" pid="9" name="CITY">
    <vt:lpwstr>מרכז</vt:lpwstr>
  </property>
  <property fmtid="{D5CDD505-2E9C-101B-9397-08002B2CF9AE}" pid="10" name="DATE">
    <vt:lpwstr>20120227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ורדה מרוז</vt:lpwstr>
  </property>
  <property fmtid="{D5CDD505-2E9C-101B-9397-08002B2CF9AE}" pid="14" name="LAWLISTTMP1">
    <vt:lpwstr>70301/144b.b</vt:lpwstr>
  </property>
  <property fmtid="{D5CDD505-2E9C-101B-9397-08002B2CF9AE}" pid="15" name="LAWYER">
    <vt:lpwstr>רדא ענבוסי;איהאב ג'לג'ולי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14149</vt:lpwstr>
  </property>
  <property fmtid="{D5CDD505-2E9C-101B-9397-08002B2CF9AE}" pid="22" name="NEWPARTB">
    <vt:lpwstr>12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390020120227</vt:lpwstr>
  </property>
  <property fmtid="{D5CDD505-2E9C-101B-9397-08002B2CF9AE}" pid="34" name="TYPE_N_DATE">
    <vt:lpwstr>39020120227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