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0"/>
      </w:tblGrid>
      <w:tr>
        <w:trPr>
          <w:trHeight w:val="418" w:hRule="exact"/>
        </w:trPr>
        <w:tc>
          <w:tcPr>
            <w:tcW w:w="8720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87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14308-10-13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זובידאת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         </w:t>
            </w:r>
            <w:r>
              <w:rPr>
                <w:b/>
                <w:bCs/>
                <w:sz w:val="26"/>
                <w:szCs w:val="26"/>
              </w:rPr>
              <w:t>29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ארלאזי זובידאת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המאשימה </w:t>
      </w:r>
      <w:r>
        <w:rPr>
          <w:u w:val="none"/>
          <w:rtl w:val="true"/>
        </w:rPr>
        <w:t xml:space="preserve">-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אברמוביץ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הנאשם </w:t>
      </w:r>
      <w:r>
        <w:rPr>
          <w:u w:val="none"/>
          <w:rtl w:val="true"/>
        </w:rPr>
        <w:t xml:space="preserve">- 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ראפי מסאלחה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הובא </w:t>
      </w:r>
      <w:r>
        <w:rPr>
          <w:u w:val="none"/>
          <w:rtl w:val="true"/>
        </w:rPr>
        <w:t>[</w:t>
      </w:r>
      <w:r>
        <w:rPr>
          <w:u w:val="none"/>
          <w:rtl w:val="true"/>
        </w:rPr>
        <w:t>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הליווי</w:t>
      </w:r>
      <w:r>
        <w:rPr>
          <w:u w:val="none"/>
          <w:rtl w:val="true"/>
        </w:rPr>
        <w:t>]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sz w:val="6"/>
          <w:szCs w:val="6"/>
        </w:rPr>
        <w:t>#4#</w:t>
      </w:r>
      <w:r>
        <w:rPr>
          <w:rFonts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/>
          <w:color w:val="FF0000"/>
          <w:sz w:val="32"/>
          <w:sz w:val="32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.</w:t>
        <w:tab/>
      </w:r>
      <w:bookmarkStart w:id="8" w:name="ABSTRACT_START"/>
      <w:bookmarkEnd w:id="8"/>
      <w:r>
        <w:rPr>
          <w:rFonts w:ascii="Times New Roman" w:hAnsi="Times New Roman" w:cs="Times New Roman"/>
          <w:rtl w:val="true"/>
        </w:rPr>
        <w:t>הנאשם בתיק זה הורשע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ניהול הוכחות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בעבירות של </w:t>
      </w:r>
      <w:r>
        <w:rPr>
          <w:rFonts w:ascii="Times New Roman" w:hAnsi="Times New Roman" w:cs="Times New Roman"/>
          <w:u w:val="single"/>
          <w:rtl w:val="true"/>
        </w:rPr>
        <w:t>נשיאת והובלת נשק בצוותא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לפי </w:t>
      </w:r>
      <w:hyperlink r:id="rId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ז 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1977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>:</w:t>
      </w:r>
      <w:r>
        <w:rPr>
          <w:rFonts w:cs="Times New Roman" w:ascii="Times New Roman" w:hAnsi="Times New Roman"/>
          <w:b/>
          <w:bCs/>
          <w:rtl w:val="true"/>
        </w:rPr>
        <w:t xml:space="preserve"> "</w:t>
      </w:r>
      <w:r>
        <w:rPr>
          <w:rFonts w:ascii="Times New Roman" w:hAnsi="Times New Roman" w:cs="Times New Roman"/>
          <w:b/>
          <w:b/>
          <w:bCs/>
          <w:rtl w:val="true"/>
        </w:rPr>
        <w:t>החוק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 xml:space="preserve">ושל </w:t>
      </w:r>
      <w:r>
        <w:rPr>
          <w:rFonts w:ascii="Times New Roman" w:hAnsi="Times New Roman" w:cs="Times New Roman"/>
          <w:u w:val="single"/>
          <w:rtl w:val="true"/>
        </w:rPr>
        <w:t>סחר בנשק בצוותא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לפי </w:t>
      </w:r>
      <w:hyperlink r:id="rId1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bookmarkStart w:id="9" w:name="ABSTRACT_END"/>
      <w:bookmarkEnd w:id="9"/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פי העובדות אותן הוכיחה המאשימה בבית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בזמנים הרלבנטיים שימש אדם המכונה דני שאולוב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>:</w:t>
      </w:r>
      <w:r>
        <w:rPr>
          <w:rFonts w:cs="Times New Roman" w:ascii="Times New Roman" w:hAnsi="Times New Roman"/>
          <w:b/>
          <w:bCs/>
          <w:rtl w:val="true"/>
        </w:rPr>
        <w:t xml:space="preserve"> "</w:t>
      </w:r>
      <w:r>
        <w:rPr>
          <w:rFonts w:ascii="Times New Roman" w:hAnsi="Times New Roman" w:cs="Times New Roman"/>
          <w:b/>
          <w:b/>
          <w:bCs/>
          <w:rtl w:val="true"/>
        </w:rPr>
        <w:t>הסוכן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או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שאולוב</w:t>
      </w:r>
      <w:r>
        <w:rPr>
          <w:rFonts w:cs="Times New Roman" w:ascii="Times New Roman" w:hAnsi="Times New Roman"/>
          <w:rtl w:val="true"/>
        </w:rPr>
        <w:t xml:space="preserve">") </w:t>
      </w:r>
      <w:r>
        <w:rPr>
          <w:rFonts w:ascii="Times New Roman" w:hAnsi="Times New Roman" w:cs="Times New Roman"/>
          <w:rtl w:val="true"/>
        </w:rPr>
        <w:t xml:space="preserve">כסוכן סמוי בעסקת נשק שנערכה עם הנאשם ועם המנוח משהאדה מוחמד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המנוח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בתאריך </w:t>
      </w:r>
      <w:r>
        <w:rPr>
          <w:rFonts w:cs="Times New Roman" w:ascii="Times New Roman" w:hAnsi="Times New Roman"/>
        </w:rPr>
        <w:t>13.6.13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שהסוכן והמנוח סיכמו ביניהם כי הסוכן ירכוש מן המנוח כלי נשק אוטומטי בתמורה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5,000</w:t>
      </w:r>
      <w:r>
        <w:rPr>
          <w:rFonts w:cs="Times New Roman" w:ascii="Times New Roman" w:hAnsi="Times New Roman"/>
          <w:rtl w:val="true"/>
        </w:rPr>
        <w:t xml:space="preserve"> ₪, </w:t>
      </w:r>
      <w:r>
        <w:rPr>
          <w:rFonts w:ascii="Times New Roman" w:hAnsi="Times New Roman" w:cs="Times New Roman"/>
          <w:rtl w:val="true"/>
        </w:rPr>
        <w:t xml:space="preserve">נפגש הסוכן עם הנאשם והמנוח בתחנת הדלק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דלק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שבדבוריה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b/>
          <w:b/>
          <w:bCs/>
          <w:rtl w:val="true"/>
        </w:rPr>
        <w:t>תחנת הדלק</w:t>
      </w:r>
      <w:r>
        <w:rPr>
          <w:rFonts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cs="Times New Roman"/>
          <w:rtl w:val="true"/>
        </w:rPr>
        <w:t xml:space="preserve">שם מכרו השניים לסוכן תת מקלע מאולתר קליבר 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מ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כלי הנשק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וכן מחסנית ריקה מכדורים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b/>
          <w:b/>
          <w:bCs/>
          <w:rtl w:val="true"/>
        </w:rPr>
        <w:t>האביזר</w:t>
      </w:r>
      <w:r>
        <w:rPr>
          <w:rFonts w:cs="Times New Roman" w:ascii="Times New Roman" w:hAnsi="Times New Roman"/>
          <w:rtl w:val="true"/>
        </w:rPr>
        <w:t xml:space="preserve">"). </w:t>
      </w:r>
      <w:r>
        <w:rPr>
          <w:rFonts w:ascii="Times New Roman" w:hAnsi="Times New Roman" w:cs="Times New Roman"/>
          <w:rtl w:val="true"/>
        </w:rPr>
        <w:t>באותו המעמד העביר הסוכן לרשות הנאשם והמנוח את הכסף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697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מן הראיות שהוצגו עולה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בעת ביצוע העסקה ישב הנאשם ברכב בו נהג המנוח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בין רגליו הייתה מונחת שקית אדומה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פתח את השקית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הוציא מתוכה את הנשק והציגו בפני הסוכן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שהסוכן העביר לידי המנוח את הכסף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הנאשם הכניס את השקית עם הנשק לתוך תיק רחצה שחור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אותו מסר לסוכן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697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firstLine="697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הנאשם בן </w:t>
      </w:r>
      <w:r>
        <w:rPr>
          <w:rFonts w:cs="Times New Roman" w:ascii="Times New Roman" w:hAnsi="Times New Roman"/>
        </w:rPr>
        <w:t>21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רווק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תושב דבוריה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טרם מעצרו ביצע הנאשם 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בהתאם לגזר דינו של בית משפט השלום בנצרת מיום </w:t>
      </w:r>
      <w:r>
        <w:rPr>
          <w:rFonts w:cs="Times New Roman" w:ascii="Times New Roman" w:hAnsi="Times New Roman"/>
        </w:rPr>
        <w:t>30.05.13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וטרם לכן נשא עונש מאסר בן 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בגין תקיפת שוטרים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משפחתו של הנאשם נורמטיבית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אולם מתקשה להתמודד עם התנהגותו המרדנית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697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הנאשם נטל אחריות חלקית בלבד לביצוע העבירות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והמשיך לטעון בפני קצינת המבחן כי לא ידע מהי מטרת הנסיעה עם המנוח ושלא היה מעורב בעסקה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קצינת המבחן התרשמה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הנאשם נמצא בשלבי גיבוש זהות ופועל מתוך צרכי התבגרות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אותם מצליח לספק רק בהתחברות לגורמים שליליים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הוסיפה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לנאשם נטייה להתנהגות אימפולסיבית המתעלמת מהשלכות עתידיות של מעשיו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כשלהערכתה קיים אצלו קושי בולט לעמוד בגבולות חיצוניים ולקבל סמכות באופן כללי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כולל סמכות חוק וסמכות הורית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מכאן העריכה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הסיכון להישנות עבירות בעתיד הוא גבוה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בהינתן האמור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ולאור התרשמותה כי לנאשם מודעות עצמית וטיפולית נמוכה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נמנעה ממתן המלצה טיפולית לגביו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23"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המאשימה מבקשת להטיל על הנאשם עונש של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וכן מאסר על תנאי וקנס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לדבריה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הערך המוגן בעבירות נשק הוא הגנה על ביטחון הציבור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כשאת מידת הפגיעה קשה לאמוד במדויק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באשר לנסיבות ציינה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הנאשם לא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נקלע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לאירוע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הגיע למקום יחד עם המנוח לאחר שנקבע מועד ומקום לביצוע העסקה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ולפיכך יש לייחס לו אחריות מלאה הן לנשיאת הנשק והן לסחר בו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ציינה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העבירות בוצעו בצוותא ושיש בהן משום סכנה לביטחון הציבור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המאשימה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הפנתה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לפסקי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דומות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במקרה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בהתייחסה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לנסיבותיו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הפרטניות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ציינה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בבחור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צעיר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ורכוש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לסיכום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סברה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להטיל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הצביעה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באמצעות סנגורו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טען כי מדובר באירוע בודד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שהוא לא נטל חלק בתכנון ובמשא ומתן שהתקיים בין הסוכן למנוח ושמעורבותו בעבירות הסתכמה בכך שנכח ברכבו של המנוח בעת ביצוע העסקה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לדבריו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ניתן לומר שהנאשם נטל חלק פעיל בעסקה או שהיה דומיננטי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ואין להענישו על חלקו של המנוח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שנפטר בסמוך לאחר ביצוע העסקה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טען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הסנגור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נגרם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אמור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להיגרם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נזק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ושיש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לשקול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התנהלות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רשויות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האכיפה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גזירת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מפרט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שזהותו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הייתה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ברורה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לשוטרים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במהלך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החקירה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הודלף</w:t>
      </w:r>
      <w:r>
        <w:rPr>
          <w:rFonts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לסוכן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לדבריו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בהתנהלות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שערורייתית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המצדיקה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הטלת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הנמוך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ההולם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בהתייחסו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לנסיבותיו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הסניגור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כולל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הרשעות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לסיכום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הסניגור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לגזרי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המתייחסים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לדבריו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למקרים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חמורים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יותר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וביקש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להסתפק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בתקופת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מעצרו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 החומרה הכרוכה בעבירות נשק עמד בית המשפט העליון לא אחת</w:t>
      </w:r>
      <w:r>
        <w:rPr>
          <w:rtl w:val="true"/>
        </w:rPr>
        <w:t xml:space="preserve">, </w:t>
      </w:r>
      <w:r>
        <w:rPr>
          <w:rtl w:val="true"/>
        </w:rPr>
        <w:t>תוך שימת דגש על הצורך להחמיר עם מבצעיהן</w:t>
      </w:r>
      <w:r>
        <w:rPr>
          <w:rtl w:val="true"/>
        </w:rPr>
        <w:t xml:space="preserve">, </w:t>
      </w:r>
      <w:r>
        <w:rPr>
          <w:rtl w:val="true"/>
        </w:rPr>
        <w:t>וזאת בהינתן הסיכון הגלום בעצם החזקת נשק</w:t>
      </w:r>
      <w:r>
        <w:rPr>
          <w:rtl w:val="true"/>
        </w:rPr>
        <w:t xml:space="preserve">, </w:t>
      </w:r>
      <w:r>
        <w:rPr>
          <w:rtl w:val="true"/>
        </w:rPr>
        <w:t>כדבריו של כבוד השופט ע</w:t>
      </w:r>
      <w:r>
        <w:rPr>
          <w:rtl w:val="true"/>
        </w:rPr>
        <w:t xml:space="preserve">' </w:t>
      </w:r>
      <w:r>
        <w:rPr>
          <w:rtl w:val="true"/>
        </w:rPr>
        <w:t>פוגלמן 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 חרבוש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09.06.10</w:t>
      </w:r>
      <w:r>
        <w:rPr>
          <w:rtl w:val="true"/>
        </w:rPr>
        <w:t>):</w:t>
      </w:r>
    </w:p>
    <w:p>
      <w:pPr>
        <w:pStyle w:val="ListParagraph"/>
        <w:spacing w:lineRule="auto" w:line="360"/>
        <w:ind w:end="0"/>
        <w:jc w:val="both"/>
        <w:rPr>
          <w:rFonts w:ascii="Calibri" w:hAnsi="Calibri"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122" w:end="113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שעבירה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לרוב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לאפשר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ביצוען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שמעצם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טבעו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כרוכות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David"/>
          <w:b/>
          <w:bCs/>
          <w:sz w:val="24"/>
          <w:szCs w:val="24"/>
          <w:rtl w:val="true"/>
        </w:rPr>
        <w:t>. 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המציאות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השוררת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בארץ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המתבטאת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בזמינותו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ורב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עוצמה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להסלמת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האלימות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העבריינית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מחייבת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והחמרה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ברמת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1332/04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</w:t>
      </w:r>
      <w:r>
        <w:rPr>
          <w:rFonts w:cs="David"/>
          <w:b/>
          <w:bCs/>
          <w:sz w:val="24"/>
          <w:szCs w:val="24"/>
          <w:rtl w:val="true"/>
        </w:rPr>
        <w:t xml:space="preserve"> ([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בנבו</w:t>
      </w:r>
      <w:r>
        <w:rPr>
          <w:rFonts w:cs="David"/>
          <w:b/>
          <w:bCs/>
          <w:sz w:val="24"/>
          <w:szCs w:val="24"/>
          <w:rtl w:val="true"/>
        </w:rPr>
        <w:t xml:space="preserve">], </w:t>
      </w:r>
      <w:r>
        <w:rPr>
          <w:rFonts w:cs="David"/>
          <w:b/>
          <w:bCs/>
          <w:sz w:val="24"/>
          <w:szCs w:val="24"/>
        </w:rPr>
        <w:t>19.4.04</w:t>
      </w:r>
      <w:r>
        <w:rPr>
          <w:rFonts w:cs="David"/>
          <w:b/>
          <w:bCs/>
          <w:sz w:val="24"/>
          <w:szCs w:val="24"/>
          <w:rtl w:val="true"/>
        </w:rPr>
        <w:t xml:space="preserve">)).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בטרם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ייעשה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באקדח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קטלני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הרחקת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המחזיק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לפרק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זמן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והעברת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מרתיע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לריצוי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1122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 w:before="0" w:after="28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דברים אלה מקבלים משנה תוקף מקום בו התלווה לעבירת הנשיאה גם עבירה של סחר בנשק</w:t>
      </w:r>
      <w:r>
        <w:rPr>
          <w:rtl w:val="true"/>
        </w:rPr>
        <w:t xml:space="preserve">, </w:t>
      </w:r>
      <w:r>
        <w:rPr>
          <w:rtl w:val="true"/>
        </w:rPr>
        <w:t>כשנקודת המוצא היא כי מעשים שכאלה מהווים חוליה אחת בשרשרת של מעשים פוטנציאליים אשר עלולים להביא לפגיעה בחיי אדם</w:t>
      </w:r>
      <w:r>
        <w:rPr>
          <w:rtl w:val="true"/>
        </w:rPr>
        <w:t xml:space="preserve">, </w:t>
      </w:r>
      <w:r>
        <w:rPr>
          <w:rtl w:val="true"/>
        </w:rPr>
        <w:t>וכפי שנקבע 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וואליד אבו סעלוק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09.06.13</w:t>
      </w:r>
      <w:r>
        <w:rPr>
          <w:rtl w:val="true"/>
        </w:rPr>
        <w:t>):</w:t>
      </w:r>
    </w:p>
    <w:p>
      <w:pPr>
        <w:pStyle w:val="ListParagraph"/>
        <w:spacing w:lineRule="auto" w:line="360" w:before="0" w:after="280"/>
        <w:ind w:start="1122" w:end="1134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שבגינן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לגזור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לתקופות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ארוכות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שמקורו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מפוקפק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מוצא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דרכו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פעמים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לידיים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למפגעים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למיניהם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שממעשיהם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נפגעים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אזרחים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תמימים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התוצאות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ההרסניות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תופעת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המסחר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והיקפה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המדאיג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מחייבים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 w:before="0" w:after="28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כאן המקום לציין את קריאתו של בית המשפט העליון מן השנים האחרונות להחמיר בעונשם של מבצעי עבירות בנשק</w:t>
      </w:r>
      <w:r>
        <w:rPr>
          <w:rtl w:val="true"/>
        </w:rPr>
        <w:t xml:space="preserve">, </w:t>
      </w:r>
      <w:r>
        <w:rPr>
          <w:rtl w:val="true"/>
        </w:rPr>
        <w:t>יותר מן המקובל בעבר</w:t>
      </w:r>
      <w:r>
        <w:rPr>
          <w:rtl w:val="true"/>
        </w:rPr>
        <w:t xml:space="preserve">, </w:t>
      </w:r>
      <w:r>
        <w:rPr>
          <w:rtl w:val="true"/>
        </w:rPr>
        <w:t>קריאה אשר מצאה את ביטויה</w:t>
      </w:r>
      <w:r>
        <w:rPr>
          <w:rtl w:val="true"/>
        </w:rPr>
        <w:t xml:space="preserve">, </w:t>
      </w:r>
      <w:r>
        <w:rPr>
          <w:rtl w:val="true"/>
        </w:rPr>
        <w:t>בין היתר 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 פאיד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28.11.11</w:t>
      </w:r>
      <w:r>
        <w:rPr>
          <w:rtl w:val="true"/>
        </w:rPr>
        <w:t xml:space="preserve">) </w:t>
      </w:r>
      <w:r>
        <w:rPr>
          <w:rtl w:val="true"/>
        </w:rPr>
        <w:t>וב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 חסן 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05.06.13</w:t>
      </w:r>
      <w:r>
        <w:rPr>
          <w:rtl w:val="true"/>
        </w:rPr>
        <w:t xml:space="preserve">), </w:t>
      </w:r>
      <w:r>
        <w:rPr>
          <w:rtl w:val="true"/>
        </w:rPr>
        <w:t>שם נאמר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22" w:end="1134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וזמינותו המדאיגה של נשק בלתי חוקי 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התעורר הצורך להחמיר בעונשי המאסר המוטלים בעבירות 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התגלגלותם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בקטטה בין ניצים ואף בתוך המשפחה פנימה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הסכנה הנשקפת לציבור כתוצאה מעבירות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 המימדים שאליהם 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הגנה על שלום הציבור מפני פגיעות בגוף או 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rtl w:val="true"/>
        </w:rPr>
        <w:t>".</w:t>
      </w:r>
    </w:p>
    <w:p>
      <w:pPr>
        <w:pStyle w:val="Normal"/>
        <w:spacing w:lineRule="auto" w:line="360"/>
        <w:ind w:start="112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וכפי שטוען הסניגור בצדק</w:t>
      </w:r>
      <w:r>
        <w:rPr>
          <w:rtl w:val="true"/>
        </w:rPr>
        <w:t xml:space="preserve">, </w:t>
      </w:r>
      <w:r>
        <w:rPr>
          <w:rtl w:val="true"/>
        </w:rPr>
        <w:t>הנאשם לא היה הגורם הדומיננטי והפעיל ביותר בתוך מסכת המעשים המתוארים 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אלא המנוח הוא שרקם ותכנן את העסקה</w:t>
      </w:r>
      <w:r>
        <w:rPr>
          <w:rtl w:val="true"/>
        </w:rPr>
        <w:t xml:space="preserve">, </w:t>
      </w:r>
      <w:r>
        <w:rPr>
          <w:rtl w:val="true"/>
        </w:rPr>
        <w:t>כשהנאשם הצטרף אליו רק בשלב הוצאתה אל הפועל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אף כי אין לייחס לנאשם מעורבות בתכנון העסקה</w:t>
      </w:r>
      <w:r>
        <w:rPr>
          <w:rtl w:val="true"/>
        </w:rPr>
        <w:t xml:space="preserve">, </w:t>
      </w:r>
      <w:r>
        <w:rPr>
          <w:rtl w:val="true"/>
        </w:rPr>
        <w:t>אין מקום לטענה כי הוא לא היה מודע למטרת הנסיעה ולכוונותיו של המנוח</w:t>
      </w:r>
      <w:r>
        <w:rPr>
          <w:rtl w:val="true"/>
        </w:rPr>
        <w:t xml:space="preserve">, </w:t>
      </w:r>
      <w:r>
        <w:rPr>
          <w:rtl w:val="true"/>
        </w:rPr>
        <w:t>שכן על פי ממצאי הכרעת הדין הנאשם הוא שהציג את הנשק בפני הסוכן והעבירו לידיו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משטרתי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ושאלמלא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להפחיד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באשר למתחם הענישה ההולם בנסיבותיו של מקרה זה</w:t>
      </w:r>
      <w:r>
        <w:rPr>
          <w:rtl w:val="true"/>
        </w:rPr>
        <w:t xml:space="preserve">, </w:t>
      </w:r>
      <w:r>
        <w:rPr>
          <w:rtl w:val="true"/>
        </w:rPr>
        <w:t>הכולל גם עבירה של סחר בנשק</w:t>
      </w:r>
      <w:r>
        <w:rPr>
          <w:rtl w:val="true"/>
        </w:rPr>
        <w:t xml:space="preserve">, </w:t>
      </w:r>
      <w:r>
        <w:rPr>
          <w:rtl w:val="true"/>
        </w:rPr>
        <w:t>סבורני כי יש לקבוע במקרה דנן מתחם גבוה יותר בהשוואה למצבים בהן נעברו עבירות של החזקה</w:t>
      </w:r>
      <w:r>
        <w:rPr>
          <w:rtl w:val="true"/>
        </w:rPr>
        <w:t xml:space="preserve">, </w:t>
      </w:r>
      <w:r>
        <w:rPr>
          <w:rtl w:val="true"/>
        </w:rPr>
        <w:t>נשיאה והובלת נשק בלבד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07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אם 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15527-08-10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 אבו ליל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12.06.12</w:t>
      </w:r>
      <w:r>
        <w:rPr>
          <w:rtl w:val="true"/>
        </w:rPr>
        <w:t xml:space="preserve">), </w:t>
        <w:tab/>
      </w:r>
      <w:r>
        <w:rPr>
          <w:rtl w:val="true"/>
        </w:rPr>
        <w:t>קבעתי לגבי נאשם שהורשע בעבירות של נשיאת נשק</w:t>
      </w:r>
      <w:r>
        <w:rPr>
          <w:rtl w:val="true"/>
        </w:rPr>
        <w:t xml:space="preserve">, </w:t>
      </w:r>
      <w:r>
        <w:rPr>
          <w:rtl w:val="true"/>
        </w:rPr>
        <w:t>הובלתו והחזקתו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 xml:space="preserve">העונש ההולם את מעשיו </w:t>
      </w:r>
      <w:r>
        <w:rPr>
          <w:rtl w:val="true"/>
        </w:rPr>
        <w:t xml:space="preserve">... </w:t>
      </w:r>
      <w:r>
        <w:rPr>
          <w:rtl w:val="true"/>
        </w:rPr>
        <w:t>הנו עונש של מאסר בפועל</w:t>
      </w:r>
      <w:r>
        <w:rPr>
          <w:rtl w:val="true"/>
        </w:rPr>
        <w:t xml:space="preserve">, </w:t>
      </w:r>
      <w:r>
        <w:rPr>
          <w:rtl w:val="true"/>
        </w:rPr>
        <w:t>והמתחם הראוי בנסיבות דנן אינו פחות 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ואינו עולה על שלוש שנים</w:t>
      </w:r>
      <w:r>
        <w:rPr>
          <w:rtl w:val="true"/>
        </w:rPr>
        <w:t xml:space="preserve">", </w:t>
      </w:r>
      <w:r>
        <w:rPr>
          <w:rtl w:val="true"/>
        </w:rPr>
        <w:t xml:space="preserve">הרי שבמקרה דנן יש לקבוע מתחם המשקף חומרה רבה יותר וזאת </w:t>
      </w:r>
      <w:r>
        <w:rPr>
          <w:rtl w:val="true"/>
        </w:rPr>
        <w:tab/>
      </w:r>
      <w:r>
        <w:rPr>
          <w:rtl w:val="true"/>
        </w:rPr>
        <w:t>בשל הכוונה המוכחת למכור את הנשק שהוחזק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0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3726/12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ראח זיידאן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07.04.13</w:t>
      </w:r>
      <w:r>
        <w:rPr>
          <w:rtl w:val="true"/>
        </w:rPr>
        <w:t xml:space="preserve">) </w:t>
      </w:r>
      <w:r>
        <w:rPr>
          <w:rtl w:val="true"/>
        </w:rPr>
        <w:t xml:space="preserve">אישר בית המשפט העליון עונש של </w:t>
      </w:r>
      <w:r>
        <w:rPr>
          <w:u w:val="single"/>
        </w:rPr>
        <w:t>40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אשר הוטל על אדם שהורשע בעבירה של נשיאה והובלת נשק</w:t>
      </w:r>
      <w:r>
        <w:rPr>
          <w:rtl w:val="true"/>
        </w:rPr>
        <w:t xml:space="preserve">, </w:t>
      </w:r>
      <w:r>
        <w:rPr>
          <w:rtl w:val="true"/>
        </w:rPr>
        <w:t xml:space="preserve">על פי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בנסיבות האמורות </w:t>
      </w:r>
      <w:hyperlink r:id="rId18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וכן בעבירת סחר בנשק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על פי </w:t>
      </w:r>
      <w:hyperlink r:id="rId1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באותו מקרה דובר בעסקה למכירת תת מקלע 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רימוני רסס</w:t>
      </w:r>
      <w:r>
        <w:rPr>
          <w:rtl w:val="true"/>
        </w:rPr>
        <w:t xml:space="preserve">, </w:t>
      </w:r>
      <w:r>
        <w:rPr>
          <w:rtl w:val="true"/>
        </w:rPr>
        <w:t>ובהבעת נכונות למכירתו של טיל לאו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3790/11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נידאל משעל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23.02.12</w:t>
      </w:r>
      <w:r>
        <w:rPr>
          <w:rtl w:val="true"/>
        </w:rPr>
        <w:t xml:space="preserve">), </w:t>
      </w:r>
      <w:r>
        <w:rPr>
          <w:rtl w:val="true"/>
        </w:rPr>
        <w:t xml:space="preserve">אישר בית המשפט העליון עונש של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אשר הוטל על נאשם אשר הורשע בעבירות של קשירת קשר לביצוע פשע</w:t>
      </w:r>
      <w:r>
        <w:rPr>
          <w:rtl w:val="true"/>
        </w:rPr>
        <w:t xml:space="preserve">; </w:t>
      </w:r>
      <w:r>
        <w:rPr>
          <w:rtl w:val="true"/>
        </w:rPr>
        <w:t>סיוע לביצוע עסקה בנשק</w:t>
      </w:r>
      <w:r>
        <w:rPr>
          <w:rtl w:val="true"/>
        </w:rPr>
        <w:t xml:space="preserve">, </w:t>
      </w:r>
      <w:r>
        <w:rPr>
          <w:rtl w:val="true"/>
        </w:rPr>
        <w:t>לנשיאתו ולהובלתו</w:t>
      </w:r>
      <w:r>
        <w:rPr>
          <w:rtl w:val="true"/>
        </w:rPr>
        <w:t xml:space="preserve">; </w:t>
      </w:r>
      <w:r>
        <w:rPr>
          <w:rtl w:val="true"/>
        </w:rPr>
        <w:t>והסתייעות ברכב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 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באותו מקרה דובר בנאשם שקשר עם אחר קשר לייבא כלי נשק משטחי הרשות הפלשתינאית</w:t>
      </w:r>
      <w:r>
        <w:rPr>
          <w:rtl w:val="true"/>
        </w:rPr>
        <w:t xml:space="preserve">. </w:t>
      </w:r>
      <w:r>
        <w:rPr>
          <w:rtl w:val="true"/>
        </w:rPr>
        <w:t>במסגרת הקשר נסעו השניים לטול</w:t>
      </w:r>
      <w:r>
        <w:rPr>
          <w:rtl w:val="true"/>
        </w:rPr>
        <w:t>-</w:t>
      </w:r>
      <w:r>
        <w:rPr>
          <w:rtl w:val="true"/>
        </w:rPr>
        <w:t>כרם</w:t>
      </w:r>
      <w:r>
        <w:rPr>
          <w:rtl w:val="true"/>
        </w:rPr>
        <w:t xml:space="preserve">, </w:t>
      </w:r>
      <w:r>
        <w:rPr>
          <w:rtl w:val="true"/>
        </w:rPr>
        <w:t>שם הצטיידו בשני אקדחים</w:t>
      </w:r>
      <w:r>
        <w:rPr>
          <w:rtl w:val="true"/>
        </w:rPr>
        <w:t xml:space="preserve">, </w:t>
      </w:r>
      <w:r>
        <w:rPr>
          <w:rtl w:val="true"/>
        </w:rPr>
        <w:t>שתי מחסניות ותחמושת</w:t>
      </w:r>
      <w:r>
        <w:rPr>
          <w:rtl w:val="true"/>
        </w:rPr>
        <w:t xml:space="preserve">, </w:t>
      </w:r>
      <w:r>
        <w:rPr>
          <w:rtl w:val="true"/>
        </w:rPr>
        <w:t>והטמינו את אמצעי הלחימה במיכל הדלק של הרכב</w:t>
      </w:r>
      <w:r>
        <w:rPr>
          <w:rtl w:val="true"/>
        </w:rPr>
        <w:t xml:space="preserve">. </w:t>
      </w:r>
      <w:r>
        <w:rPr>
          <w:rtl w:val="true"/>
        </w:rPr>
        <w:t>השניים נתפסו במחסום היציאה מטול</w:t>
      </w:r>
      <w:r>
        <w:rPr>
          <w:rtl w:val="true"/>
        </w:rPr>
        <w:t>-</w:t>
      </w:r>
      <w:r>
        <w:rPr>
          <w:rtl w:val="true"/>
        </w:rPr>
        <w:t>כרם</w:t>
      </w:r>
      <w:r>
        <w:rPr>
          <w:rtl w:val="true"/>
        </w:rPr>
        <w:t xml:space="preserve">, </w:t>
      </w:r>
      <w:r>
        <w:rPr>
          <w:rtl w:val="true"/>
        </w:rPr>
        <w:t>כשבמהלך הבידוק הביטחוני התגלו אמצעי הלחימה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4956/13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וליד עיסאוי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08.06.14</w:t>
      </w:r>
      <w:r>
        <w:rPr>
          <w:rtl w:val="true"/>
        </w:rPr>
        <w:t xml:space="preserve">), </w:t>
      </w:r>
      <w:r>
        <w:rPr>
          <w:rtl w:val="true"/>
        </w:rPr>
        <w:t xml:space="preserve">אושר עונש של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אותו הטלתי על נאשם שהורשע בעבירות נשק</w:t>
      </w:r>
      <w:r>
        <w:rPr>
          <w:rtl w:val="true"/>
        </w:rPr>
        <w:t xml:space="preserve">, </w:t>
      </w:r>
      <w:r>
        <w:rPr>
          <w:rtl w:val="true"/>
        </w:rPr>
        <w:t>בהן גם סחר בנשק וניסיון לסחר בנשק</w:t>
      </w:r>
      <w:r>
        <w:rPr>
          <w:rtl w:val="true"/>
        </w:rPr>
        <w:t xml:space="preserve">. </w:t>
      </w:r>
      <w:r>
        <w:rPr>
          <w:rtl w:val="true"/>
        </w:rPr>
        <w:t>המערער שם היה מעורב בשני מקרים בהם רכש כדורי תחמושת לאקדח וביקש למכור אותם ברווח</w:t>
      </w:r>
      <w:r>
        <w:rPr>
          <w:rtl w:val="true"/>
        </w:rPr>
        <w:t xml:space="preserve">. </w:t>
      </w:r>
      <w:r>
        <w:rPr>
          <w:rtl w:val="true"/>
        </w:rPr>
        <w:t xml:space="preserve">במקרה אחד מכר המערער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כדורים לאחר</w:t>
      </w:r>
      <w:r>
        <w:rPr>
          <w:rtl w:val="true"/>
        </w:rPr>
        <w:t xml:space="preserve">, </w:t>
      </w:r>
      <w:r>
        <w:rPr>
          <w:rtl w:val="true"/>
        </w:rPr>
        <w:t>ובמקרה השני נעצר על ידי כוח משטרתי בטרם הושלמה העסקה</w:t>
      </w:r>
      <w:r>
        <w:rPr>
          <w:rtl w:val="true"/>
        </w:rPr>
        <w:t xml:space="preserve">. </w:t>
      </w:r>
      <w:r>
        <w:rPr>
          <w:rtl w:val="true"/>
        </w:rPr>
        <w:t>בית המשפט העליון הפנה בפסק דינו ל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4954/13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19.01.14</w:t>
      </w:r>
      <w:r>
        <w:rPr>
          <w:rtl w:val="true"/>
        </w:rPr>
        <w:t xml:space="preserve">), </w:t>
      </w:r>
      <w:r>
        <w:rPr>
          <w:rtl w:val="true"/>
        </w:rPr>
        <w:t>שם עמדה כב</w:t>
      </w:r>
      <w:r>
        <w:rPr>
          <w:rtl w:val="true"/>
        </w:rPr>
        <w:t xml:space="preserve">' </w:t>
      </w:r>
      <w:r>
        <w:rPr>
          <w:rtl w:val="true"/>
        </w:rPr>
        <w:t>השופטת עדנה ארבל על מדיניות הענישה הנהוגה בעבירות נשק</w:t>
      </w:r>
      <w:r>
        <w:rPr>
          <w:rtl w:val="true"/>
        </w:rPr>
        <w:t xml:space="preserve">, </w:t>
      </w:r>
      <w:r>
        <w:rPr>
          <w:rtl w:val="true"/>
        </w:rPr>
        <w:t>תוך קביעה כי המתחם ההולם במקרה בו דנה</w:t>
      </w:r>
      <w:r>
        <w:rPr>
          <w:rtl w:val="true"/>
        </w:rPr>
        <w:t xml:space="preserve">, </w:t>
      </w:r>
      <w:r>
        <w:rPr>
          <w:rtl w:val="true"/>
        </w:rPr>
        <w:t>ושעניינו עבירות של רכישה</w:t>
      </w:r>
      <w:r>
        <w:rPr>
          <w:rtl w:val="true"/>
        </w:rPr>
        <w:t xml:space="preserve">, </w:t>
      </w:r>
      <w:r>
        <w:rPr>
          <w:rtl w:val="true"/>
        </w:rPr>
        <w:t>החזקה ונשיאת נשק בלבד</w:t>
      </w:r>
      <w:r>
        <w:rPr>
          <w:rtl w:val="true"/>
        </w:rPr>
        <w:t xml:space="preserve">, </w:t>
      </w:r>
      <w:r>
        <w:rPr>
          <w:rtl w:val="true"/>
        </w:rPr>
        <w:t xml:space="preserve">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לסיכום נקודה זו</w:t>
      </w:r>
      <w:r>
        <w:rPr>
          <w:rtl w:val="true"/>
        </w:rPr>
        <w:t xml:space="preserve">, </w:t>
      </w:r>
      <w:r>
        <w:rPr>
          <w:rtl w:val="true"/>
        </w:rPr>
        <w:t>סבורני כי בנסיבות המתוארות</w:t>
      </w:r>
      <w:r>
        <w:rPr>
          <w:rtl w:val="true"/>
        </w:rPr>
        <w:t xml:space="preserve">, </w:t>
      </w:r>
      <w:r>
        <w:rPr>
          <w:rtl w:val="true"/>
        </w:rPr>
        <w:t>בהתייחס לסוג הנשק ולכמותו</w:t>
      </w:r>
      <w:r>
        <w:rPr>
          <w:rtl w:val="true"/>
        </w:rPr>
        <w:t xml:space="preserve">, </w:t>
      </w:r>
      <w:r>
        <w:rPr>
          <w:rtl w:val="true"/>
        </w:rPr>
        <w:t>ותוך השוואה למתחם אותו קבעתי במקרים בהם הורשעו נאשמים בעבירות של החזקה</w:t>
      </w:r>
      <w:r>
        <w:rPr>
          <w:rtl w:val="true"/>
        </w:rPr>
        <w:t xml:space="preserve">, </w:t>
      </w:r>
      <w:r>
        <w:rPr>
          <w:rtl w:val="true"/>
        </w:rPr>
        <w:t>נשיאה או הובלת נשק בלבד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מתחם העונש ההולם במקרה דנן נע בין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באשר לגזירת העונש בתוך מתחם זה</w:t>
      </w:r>
      <w:r>
        <w:rPr>
          <w:rtl w:val="true"/>
        </w:rPr>
        <w:t xml:space="preserve">, </w:t>
      </w:r>
      <w:r>
        <w:rPr>
          <w:rtl w:val="true"/>
        </w:rPr>
        <w:t>בהתחשב במסקנות התסקיר ובעובדה כי הנאשם אינו נוטל אחריות מלאה למעורבותו בהן</w:t>
      </w:r>
      <w:r>
        <w:rPr>
          <w:rtl w:val="true"/>
        </w:rPr>
        <w:t xml:space="preserve">, </w:t>
      </w:r>
      <w:r>
        <w:rPr>
          <w:rtl w:val="true"/>
        </w:rPr>
        <w:t>וזאת חרף הודאתו כי נכח ברכב בעת ביצוע העסקה</w:t>
      </w:r>
      <w:r>
        <w:rPr>
          <w:rtl w:val="true"/>
        </w:rPr>
        <w:t xml:space="preserve">, </w:t>
      </w:r>
      <w:r>
        <w:rPr>
          <w:rtl w:val="true"/>
        </w:rPr>
        <w:t>לא מצאתי מקום לסטות מן המתחם ההולם</w:t>
      </w:r>
      <w:r>
        <w:rPr>
          <w:rtl w:val="true"/>
        </w:rPr>
        <w:t xml:space="preserve">, </w:t>
      </w:r>
      <w:r>
        <w:rPr>
          <w:rtl w:val="true"/>
        </w:rPr>
        <w:t>לחומרה או לקולא</w:t>
      </w:r>
      <w:r>
        <w:rPr>
          <w:rtl w:val="true"/>
        </w:rPr>
        <w:t xml:space="preserve">. </w:t>
      </w:r>
      <w:r>
        <w:rPr>
          <w:rtl w:val="true"/>
        </w:rPr>
        <w:t>עוד יש לציין</w:t>
      </w:r>
      <w:r>
        <w:rPr>
          <w:rtl w:val="true"/>
        </w:rPr>
        <w:t xml:space="preserve">, </w:t>
      </w:r>
      <w:r>
        <w:rPr>
          <w:rtl w:val="true"/>
        </w:rPr>
        <w:t>כי הנאשם הוא רווק  כך ששליחתו למאסר לא תוביל לפגיעה חמורה בו או במשפחתו</w:t>
      </w:r>
      <w:r>
        <w:rPr>
          <w:rtl w:val="true"/>
        </w:rPr>
        <w:t xml:space="preserve">, </w:t>
      </w:r>
      <w:r>
        <w:rPr>
          <w:rtl w:val="true"/>
        </w:rPr>
        <w:t xml:space="preserve">ושעומדות לחובתו </w:t>
      </w:r>
      <w:r>
        <w:rPr>
          <w:rFonts w:ascii="Times New Roman" w:hAnsi="Times New Roman" w:cs="Times New Roman"/>
          <w:rtl w:val="true"/>
        </w:rPr>
        <w:t xml:space="preserve">שלוש הרשעות קודמות שנצברו לחובתו במהלך השנים </w:t>
      </w:r>
      <w:r>
        <w:rPr>
          <w:rFonts w:cs="Times New Roman" w:ascii="Times New Roman" w:hAnsi="Times New Roman"/>
        </w:rPr>
        <w:t>2012-2013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 בעבירה של הפרת הוראה חוקית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פריצה לרכב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גניבה ממנו והחזקת נכס החשוד כגנוב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וכן בעבירות איומים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התנהגות פרועה במקום ציבורי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הפרעה לשוטר במילוי תפקידו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היזק לרכוש במזיד וחבלה במזיד ברכב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בהינתן ריבוין של עבירות הנשק ותוצאותיהן החמורות</w:t>
      </w:r>
      <w:r>
        <w:rPr>
          <w:rtl w:val="true"/>
        </w:rPr>
        <w:t xml:space="preserve">, </w:t>
      </w:r>
      <w:r>
        <w:rPr>
          <w:rtl w:val="true"/>
        </w:rPr>
        <w:t>יש מקום להתחשב בשיקול הרתעת הרבים</w:t>
      </w:r>
      <w:r>
        <w:rPr>
          <w:rtl w:val="true"/>
        </w:rPr>
        <w:t xml:space="preserve">, </w:t>
      </w:r>
      <w:r>
        <w:rPr>
          <w:rtl w:val="true"/>
        </w:rPr>
        <w:t>המחייב החמרה בעונשו של הנאשם בגדרי מתחם הענישה ההולם</w:t>
      </w:r>
      <w:r>
        <w:rPr>
          <w:rtl w:val="true"/>
        </w:rPr>
        <w:t xml:space="preserve">, </w:t>
      </w:r>
      <w:r>
        <w:rPr>
          <w:rtl w:val="true"/>
        </w:rPr>
        <w:t>באופן שיועבר מסר ברור שיהיה בו כדי להרתיע כל עבריין נשק פוטנציאלי מפני ביצוען של עבירות מסוג זה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אשר 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 גוזר על הנאשם 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שלושים ושישה </w:t>
      </w:r>
      <w:r>
        <w:rPr>
          <w:rtl w:val="true"/>
        </w:rPr>
        <w:t>(</w:t>
      </w:r>
      <w:r>
        <w:rPr/>
        <w:t>36</w:t>
      </w:r>
      <w:r>
        <w:rPr>
          <w:rtl w:val="true"/>
        </w:rPr>
        <w:t xml:space="preserve">)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עשרים וארבעה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) </w:t>
      </w:r>
      <w:r>
        <w:rPr>
          <w:rtl w:val="true"/>
        </w:rPr>
        <w:t xml:space="preserve">חודשי מאסר לריצוי בפועל בניכוי ימי מעצרו החל מיום </w:t>
      </w:r>
      <w:r>
        <w:rPr/>
        <w:t>29.9.13</w:t>
      </w:r>
      <w:r>
        <w:rPr>
          <w:rtl w:val="true"/>
        </w:rPr>
        <w:t xml:space="preserve">, </w:t>
      </w:r>
      <w:r>
        <w:rPr>
          <w:rtl w:val="true"/>
        </w:rPr>
        <w:t>ואילו היתרה 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בפרק זמן זה עבירת נשק שיורשע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מאסר זה ישא אותו הנאשם בחופף לכל מאסר אחר אשר הוטל על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בסך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>או חודש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 מיום ריצוי 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זכות ערעור לבית המשפט 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b/>
          <w:b/>
          <w:bCs/>
          <w:rtl w:val="true"/>
        </w:rPr>
        <w:t>ניתן והודע היום 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29/09/2014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bookmarkStart w:id="10" w:name="_GoBack"/>
      <w:bookmarkEnd w:id="10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14308-10-13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ארלאזי זובידאת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Times New Roman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." TargetMode="External"/><Relationship Id="rId4" Type="http://schemas.openxmlformats.org/officeDocument/2006/relationships/hyperlink" Target="http://www.nevo.co.il/law/70301/144.b2." TargetMode="External"/><Relationship Id="rId5" Type="http://schemas.openxmlformats.org/officeDocument/2006/relationships/hyperlink" Target="http://www.nevo.co.il/law/70301/144.c.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43" TargetMode="External"/><Relationship Id="rId8" Type="http://schemas.openxmlformats.org/officeDocument/2006/relationships/hyperlink" Target="http://www.nevo.co.il/law/70301/144.b.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." TargetMode="External"/><Relationship Id="rId11" Type="http://schemas.openxmlformats.org/officeDocument/2006/relationships/hyperlink" Target="http://www.nevo.co.il/case/5969313" TargetMode="External"/><Relationship Id="rId12" Type="http://schemas.openxmlformats.org/officeDocument/2006/relationships/hyperlink" Target="http://www.nevo.co.il/case/5721950" TargetMode="External"/><Relationship Id="rId13" Type="http://schemas.openxmlformats.org/officeDocument/2006/relationships/hyperlink" Target="http://www.nevo.co.il/case/5958231" TargetMode="External"/><Relationship Id="rId14" Type="http://schemas.openxmlformats.org/officeDocument/2006/relationships/hyperlink" Target="http://www.nevo.co.il/case/6473037" TargetMode="External"/><Relationship Id="rId15" Type="http://schemas.openxmlformats.org/officeDocument/2006/relationships/hyperlink" Target="http://www.nevo.co.il/case/4752781" TargetMode="External"/><Relationship Id="rId16" Type="http://schemas.openxmlformats.org/officeDocument/2006/relationships/hyperlink" Target="http://www.nevo.co.il/case/5585104" TargetMode="External"/><Relationship Id="rId17" Type="http://schemas.openxmlformats.org/officeDocument/2006/relationships/hyperlink" Target="http://www.nevo.co.il/law/70301/144.b." TargetMode="External"/><Relationship Id="rId18" Type="http://schemas.openxmlformats.org/officeDocument/2006/relationships/hyperlink" Target="http://www.nevo.co.il/law/70301/144.c." TargetMode="External"/><Relationship Id="rId19" Type="http://schemas.openxmlformats.org/officeDocument/2006/relationships/hyperlink" Target="http://www.nevo.co.il/law/70301/144.b2." TargetMode="External"/><Relationship Id="rId20" Type="http://schemas.openxmlformats.org/officeDocument/2006/relationships/hyperlink" Target="http://www.nevo.co.il/law/70301/144.c." TargetMode="External"/><Relationship Id="rId21" Type="http://schemas.openxmlformats.org/officeDocument/2006/relationships/hyperlink" Target="http://www.nevo.co.il/case/5581144" TargetMode="External"/><Relationship Id="rId22" Type="http://schemas.openxmlformats.org/officeDocument/2006/relationships/hyperlink" Target="http://www.nevo.co.il/law/5227/43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case/7791489" TargetMode="External"/><Relationship Id="rId25" Type="http://schemas.openxmlformats.org/officeDocument/2006/relationships/hyperlink" Target="http://www.nevo.co.il/case/7980162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2014-10-06T08:06:00Z</dcterms:created>
  <dc:creator> </dc:creator>
  <dc:description/>
  <cp:keywords/>
  <dc:language>en-IL</dc:language>
  <cp:lastModifiedBy>hofit</cp:lastModifiedBy>
  <dcterms:modified xsi:type="dcterms:W3CDTF">2014-10-06T08:06:00Z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ארלאזי זובידאת</vt:lpwstr>
  </property>
  <property fmtid="{D5CDD505-2E9C-101B-9397-08002B2CF9AE}" pid="4" name="CASENOTES1">
    <vt:lpwstr>ProcID=133;209&amp;PartA=1332&amp;PartC=04</vt:lpwstr>
  </property>
  <property fmtid="{D5CDD505-2E9C-101B-9397-08002B2CF9AE}" pid="5" name="CASESLISTTMP1">
    <vt:lpwstr>5969313;5721950;5958231;6473037;4752781;5585104;5581144;7791489;7980162</vt:lpwstr>
  </property>
  <property fmtid="{D5CDD505-2E9C-101B-9397-08002B2CF9AE}" pid="6" name="CITY">
    <vt:lpwstr>נצ'</vt:lpwstr>
  </property>
  <property fmtid="{D5CDD505-2E9C-101B-9397-08002B2CF9AE}" pid="7" name="DATE">
    <vt:lpwstr>20140929</vt:lpwstr>
  </property>
  <property fmtid="{D5CDD505-2E9C-101B-9397-08002B2CF9AE}" pid="8" name="ISABSTRACT">
    <vt:lpwstr>Y</vt:lpwstr>
  </property>
  <property fmtid="{D5CDD505-2E9C-101B-9397-08002B2CF9AE}" pid="9" name="JUDGE">
    <vt:lpwstr>תאופיק כתילי</vt:lpwstr>
  </property>
  <property fmtid="{D5CDD505-2E9C-101B-9397-08002B2CF9AE}" pid="10" name="LAWLISTTMP1">
    <vt:lpwstr>70301/144.b.:2;144.b2.:2;144.c.:2</vt:lpwstr>
  </property>
  <property fmtid="{D5CDD505-2E9C-101B-9397-08002B2CF9AE}" pid="11" name="LAWLISTTMP2">
    <vt:lpwstr>5227/043</vt:lpwstr>
  </property>
  <property fmtid="{D5CDD505-2E9C-101B-9397-08002B2CF9AE}" pid="12" name="LAWYER">
    <vt:lpwstr>הובא;הובא [ הליווי];אברמוביץ;ראפי מסאלחה</vt:lpwstr>
  </property>
  <property fmtid="{D5CDD505-2E9C-101B-9397-08002B2CF9AE}" pid="13" name="NEWPARTA">
    <vt:lpwstr>14308</vt:lpwstr>
  </property>
  <property fmtid="{D5CDD505-2E9C-101B-9397-08002B2CF9AE}" pid="14" name="NEWPARTB">
    <vt:lpwstr>10</vt:lpwstr>
  </property>
  <property fmtid="{D5CDD505-2E9C-101B-9397-08002B2CF9AE}" pid="15" name="NEWPARTC">
    <vt:lpwstr>13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390020140929</vt:lpwstr>
  </property>
  <property fmtid="{D5CDD505-2E9C-101B-9397-08002B2CF9AE}" pid="20" name="TYPE_N_DATE">
    <vt:lpwstr>39020140929</vt:lpwstr>
  </property>
  <property fmtid="{D5CDD505-2E9C-101B-9397-08002B2CF9AE}" pid="21" name="WORDNUMPAGES">
    <vt:lpwstr>6</vt:lpwstr>
  </property>
</Properties>
</file>