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14476-04-15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340"/>
        <w:gridCol w:w="3535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גרינברגר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34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5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3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535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34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מועאד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גמאל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עניינו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הסתיים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עומר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5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3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535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2" w:name="LawTable"/>
      <w:bookmarkStart w:id="3" w:name="PsakDin"/>
      <w:bookmarkStart w:id="4" w:name="LawTable"/>
      <w:bookmarkStart w:id="5" w:name="PsakDin"/>
      <w:bookmarkEnd w:id="4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פקודת מניעת טרור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274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)+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rtl w:val="true"/>
          </w:rPr>
          <w:t>ב א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לפרק ו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13.4.15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תפורטנה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bookmarkStart w:id="10" w:name="ABSTRACT_START"/>
      <w:bookmarkEnd w:id="10"/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במיוחס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20.7.15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טרוריסטי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4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ז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b/>
            <w:b/>
            <w:bCs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ascii="Calibri" w:hAnsi="Calibri" w:cs="Calibri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sz w:val="26"/>
            <w:sz w:val="26"/>
            <w:szCs w:val="26"/>
            <w:rtl w:val="true"/>
          </w:rPr>
          <w:t>מניעת</w:t>
        </w:r>
        <w:r>
          <w:rPr>
            <w:rStyle w:val="Hyperlink"/>
            <w:rFonts w:ascii="Calibri" w:hAnsi="Calibri" w:cs="Calibri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sz w:val="26"/>
            <w:sz w:val="26"/>
            <w:szCs w:val="26"/>
            <w:rtl w:val="true"/>
          </w:rPr>
          <w:t>טרור</w:t>
        </w:r>
      </w:hyperlink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תש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b/>
          <w:bCs/>
          <w:sz w:val="26"/>
          <w:szCs w:val="26"/>
        </w:rPr>
        <w:t>1948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sz w:val="26"/>
          <w:sz w:val="26"/>
          <w:szCs w:val="26"/>
          <w:rtl w:val="true"/>
        </w:rPr>
        <w:t>הפקודה</w:t>
      </w:r>
      <w:r>
        <w:rPr>
          <w:rFonts w:cs="Calibri" w:ascii="Calibri" w:hAnsi="Calibri"/>
          <w:sz w:val="26"/>
          <w:szCs w:val="26"/>
          <w:rtl w:val="true"/>
        </w:rPr>
        <w:t xml:space="preserve">"); </w:t>
      </w:r>
      <w:r>
        <w:rPr>
          <w:rFonts w:ascii="Calibri" w:hAnsi="Calibri" w:cs="Calibri"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329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)(</w:t>
        </w:r>
        <w:r>
          <w:rPr>
            <w:rStyle w:val="Hyperlink"/>
            <w:rFonts w:cs="Calibri" w:ascii="Calibri" w:hAnsi="Calibri"/>
            <w:sz w:val="26"/>
            <w:szCs w:val="26"/>
          </w:rPr>
          <w:t>2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b/>
            <w:b/>
            <w:bCs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sz w:val="26"/>
            <w:sz w:val="26"/>
            <w:szCs w:val="26"/>
            <w:rtl w:val="true"/>
          </w:rPr>
          <w:t>העונשין</w:t>
        </w:r>
      </w:hyperlink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התשל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b/>
          <w:bCs/>
          <w:sz w:val="26"/>
          <w:szCs w:val="26"/>
        </w:rPr>
        <w:t>1977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>) 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cs="Calibri" w:ascii="Calibri" w:hAnsi="Calibri"/>
          <w:sz w:val="26"/>
          <w:szCs w:val="26"/>
          <w:rtl w:val="true"/>
        </w:rPr>
        <w:t xml:space="preserve">"); </w:t>
      </w:r>
      <w:r>
        <w:rPr>
          <w:rFonts w:ascii="Calibri" w:hAnsi="Calibri" w:cs="Calibri"/>
          <w:sz w:val="26"/>
          <w:sz w:val="26"/>
          <w:szCs w:val="26"/>
          <w:rtl w:val="true"/>
        </w:rPr>
        <w:t>ועבירת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144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Calibri" w:ascii="Calibri" w:hAnsi="Calibri"/>
            <w:sz w:val="26"/>
            <w:szCs w:val="26"/>
          </w:rPr>
          <w:t>2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bookmarkStart w:id="11" w:name="ABSTRACT_END"/>
      <w:bookmarkEnd w:id="11"/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7.10.15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מרכיב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שהציגו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וגזרתי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 </w:t>
      </w:r>
      <w:r>
        <w:rPr>
          <w:rFonts w:cs="Calibri" w:ascii="Calibri" w:hAnsi="Calibri"/>
          <w:sz w:val="26"/>
          <w:szCs w:val="26"/>
        </w:rPr>
        <w:t>33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מהסוגים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לפניי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>").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במיוחס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לגביו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לעונש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28.12.15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הכרעת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המתוקן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תמיכה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טרוריסטי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4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ז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לפקודה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329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)(</w:t>
        </w:r>
        <w:r>
          <w:rPr>
            <w:rStyle w:val="Hyperlink"/>
            <w:rFonts w:cs="Calibri" w:ascii="Calibri" w:hAnsi="Calibri"/>
            <w:sz w:val="26"/>
            <w:szCs w:val="26"/>
          </w:rPr>
          <w:t>2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274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cs="Calibri" w:ascii="Calibri" w:hAnsi="Calibri"/>
            <w:sz w:val="26"/>
            <w:szCs w:val="26"/>
          </w:rPr>
          <w:t>1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+</w:t>
      </w:r>
      <w:hyperlink r:id="rId26"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cs="Calibri" w:ascii="Calibri" w:hAnsi="Calibri"/>
            <w:sz w:val="26"/>
            <w:szCs w:val="26"/>
          </w:rPr>
          <w:t>2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+</w:t>
      </w:r>
      <w:hyperlink r:id="rId27"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cs="Calibri" w:ascii="Calibri" w:hAnsi="Calibri"/>
            <w:sz w:val="26"/>
            <w:szCs w:val="26"/>
          </w:rPr>
          <w:t>3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)+</w:t>
        </w:r>
      </w:hyperlink>
      <w:hyperlink r:id="rId28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</w:hyperlink>
      <w:r>
        <w:rPr>
          <w:rStyle w:val="Hyperlink"/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Style w:val="Hyperlink"/>
          <w:rFonts w:cs="Calibri" w:ascii="Calibri" w:hAnsi="Calibri"/>
          <w:sz w:val="26"/>
          <w:szCs w:val="26"/>
        </w:rPr>
        <w:t>25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338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cs="Calibri" w:ascii="Calibri" w:hAnsi="Calibri"/>
            <w:sz w:val="26"/>
            <w:szCs w:val="26"/>
          </w:rPr>
          <w:t>5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152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274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cs="Calibri" w:ascii="Calibri" w:hAnsi="Calibri"/>
            <w:sz w:val="26"/>
            <w:szCs w:val="26"/>
          </w:rPr>
          <w:t>1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+(</w:t>
        </w:r>
        <w:r>
          <w:rPr>
            <w:rStyle w:val="Hyperlink"/>
            <w:rFonts w:cs="Calibri" w:ascii="Calibri" w:hAnsi="Calibri"/>
            <w:sz w:val="26"/>
            <w:szCs w:val="26"/>
          </w:rPr>
          <w:t>2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+</w:t>
      </w:r>
      <w:hyperlink r:id="rId33"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cs="Calibri" w:ascii="Calibri" w:hAnsi="Calibri"/>
            <w:sz w:val="26"/>
            <w:szCs w:val="26"/>
          </w:rPr>
          <w:t>3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המפורטים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המתוקן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b/>
          <w:bCs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הואשם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בתמיכה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2010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הנוכחי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החמאס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sz w:val="26"/>
          <w:sz w:val="26"/>
          <w:szCs w:val="26"/>
          <w:rtl w:val="true"/>
        </w:rPr>
        <w:t>הארגון</w:t>
      </w:r>
      <w:r>
        <w:rPr>
          <w:rFonts w:cs="Calibri" w:ascii="Calibri" w:hAnsi="Calibri"/>
          <w:sz w:val="26"/>
          <w:szCs w:val="26"/>
          <w:rtl w:val="true"/>
        </w:rPr>
        <w:t xml:space="preserve">"),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הוכרז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טרוריסטי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תמיכתו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חברים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בקבוצת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שבאב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אלארבעין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בעיסאוויה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sz w:val="26"/>
          <w:sz w:val="26"/>
          <w:szCs w:val="26"/>
          <w:rtl w:val="true"/>
        </w:rPr>
        <w:t>הקבוצה</w:t>
      </w:r>
      <w:r>
        <w:rPr>
          <w:rFonts w:cs="Calibri" w:ascii="Calibri" w:hAnsi="Calibri"/>
          <w:sz w:val="26"/>
          <w:szCs w:val="26"/>
          <w:rtl w:val="true"/>
        </w:rPr>
        <w:t xml:space="preserve">") </w:t>
      </w:r>
      <w:r>
        <w:rPr>
          <w:rFonts w:ascii="Calibri" w:hAnsi="Calibri" w:cs="Calibri"/>
          <w:sz w:val="26"/>
          <w:sz w:val="26"/>
          <w:szCs w:val="26"/>
          <w:rtl w:val="true"/>
        </w:rPr>
        <w:t>ופעלו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הנהגתו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והכוונתו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אנואר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מג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הארגון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פעילותם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2009</w:t>
      </w:r>
      <w:r>
        <w:rPr>
          <w:rFonts w:cs="Calibri" w:ascii="Calibri" w:hAnsi="Calibri"/>
          <w:sz w:val="26"/>
          <w:szCs w:val="26"/>
          <w:rtl w:val="true"/>
        </w:rPr>
        <w:t xml:space="preserve"> - </w:t>
      </w:r>
      <w:r>
        <w:rPr>
          <w:rFonts w:cs="Calibri" w:ascii="Calibri" w:hAnsi="Calibri"/>
          <w:sz w:val="26"/>
          <w:szCs w:val="26"/>
        </w:rPr>
        <w:t>2013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בתהלוכות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ומחאות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מניפים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דגלי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ונושאים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כרזות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התומכות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בכנסים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שנערכו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הארגון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שיעורי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קוראן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החמאס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וערכו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אצל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אסירי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הארגון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למעצרו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דגלים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דגלי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ודגלי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יהאד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האסלאמי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טרוריסטי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b/>
          <w:bCs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לקראת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הלווייתו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מוחמד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שנרצח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2.7.14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הצטייד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בארבעה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שהכין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קופסאות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רוגטקה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רעלת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גולות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ודגלי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חמאס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ההלוויה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למתפרעים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בשועפאט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הבקבוקים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הנותרים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לצעירים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יידויים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וזרק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שקיבל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מאחר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השוטרים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הרוגטקה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b/>
          <w:bCs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בקיץ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בעיסאוויה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התקרב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ואחז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בידו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בפניו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ממרחק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בעקבות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עזב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שהמשיך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השוטרים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b/>
          <w:bCs/>
          <w:sz w:val="26"/>
          <w:szCs w:val="26"/>
        </w:rPr>
        <w:t>7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–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22.10.14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בעיסאוויה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ורימון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b/>
          <w:bCs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באחד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דצמבר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הצטייד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ארגזי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והצטרף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בעיסאוויה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Calibri"/>
          <w:sz w:val="26"/>
          <w:sz w:val="26"/>
          <w:szCs w:val="26"/>
          <w:rtl w:val="true"/>
        </w:rPr>
        <w:t>צו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זידאן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השוטרים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עקב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21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הוזמן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שיחת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טלפון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המתוקן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בפרוטוקול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ובגיליון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התסקיר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מאורס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לתלמידת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לחובתו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קודמות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נעשו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וכתגובה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לאווירה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ומתוחה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מגוריו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הפחית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שמחזיק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בעמדות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המצדיקות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התנהגות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התרשמה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בצעיר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שטרם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גיבש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העצמית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לעיתים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התנהגות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שקולה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ואלימה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מתקשה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יציבות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והתמדה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דבר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להתמיד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עבודה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בולטת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אצל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נטייה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להימנעות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מהתייחסות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והתבוננות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מעמיקה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וביקורתית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להערכת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בסיטואציות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תסכול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וכעס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התנהגות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שקולה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ותוקפנית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האמור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ההערכה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שגורמי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גורמי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הסיכוי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לשיקום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שמיוחסות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ואופיין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המלצה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לחלופת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הקהילה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להחמיר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הנגזרים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שעניינם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היקפם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נתפס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מחייבים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הנהוג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להרתיע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צעירים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ובעיקר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ירושלים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המחוקק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דעתו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להחמיר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נקבעו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בתיקוני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חקיקה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מינימום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בנתיב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תחבורה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אמנם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תיקונים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שלפנינו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בוצעו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החקיקה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החדשה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להשפיע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ולהוות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מנחה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לטענת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להתייחס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לעובדה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ממושכת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בחמישה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גופם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השוטרים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מהמקרים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וביכולתם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תפקידם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כראוי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לשיטת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מצריך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קביעת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בנפרד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מובחנים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ובמהות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מתאפיינות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בתכנון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ביוזמה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ובאלימות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לחדול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שלב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לשיטת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הראויים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כדלקמן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הראשון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מעורבים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והורשעו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נגזרו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האחידות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המבוקש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הרביעי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sz w:val="26"/>
          <w:szCs w:val="26"/>
        </w:rPr>
        <w:t>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ההצטיידות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הרבה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ופוטנציאל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השישי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sz w:val="26"/>
          <w:szCs w:val="26"/>
        </w:rPr>
        <w:t>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התעוזה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מטווח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אפס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שבנס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השביעי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– 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השמיני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–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נטען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מבטא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בשלטון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המיוחסים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עיסאוויה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חוץ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טריטוריאלי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לירושלים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המבצעת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לפעול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ולבצע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משימותיה</w:t>
      </w:r>
      <w:r>
        <w:rPr>
          <w:rFonts w:cs="Calibri" w:ascii="Calibri" w:hAnsi="Calibri"/>
          <w:sz w:val="26"/>
          <w:szCs w:val="26"/>
          <w:rtl w:val="true"/>
        </w:rPr>
        <w:t>.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לגזירת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לזכות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עומדת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וחיסכון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שיפוטי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שיתוף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רשויות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האכיפה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העובדה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והתמשכותם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להיעדר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אומנם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צעיר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ויורד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המתפרעים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שנעשו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ההרתעה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ומציינת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כתגובה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לאווירה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מגוריו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עומדת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המתפרשות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לרבות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בחמאס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תומך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בהטלת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מרתיע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טוענת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למקם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מאמצע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בקצהו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התחתון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לטענותיה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מוסיפה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ומציינת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שותפו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cs="Calibri" w:ascii="Calibri" w:hAnsi="Calibri"/>
          <w:sz w:val="26"/>
          <w:szCs w:val="26"/>
        </w:rPr>
        <w:t>33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נגזר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סגור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בתכלית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מרכיב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הוסכם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גיבוש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מדיניות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החדשה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לחפיפה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להעמיד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הכולל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מנגד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טוען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להצדיק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עיסאוויה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התושבים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מרגישים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קיפוח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הזמן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לטענתו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המלוות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מבוצעות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מדחפים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רגשיים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טוען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להבדיל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מחברות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המבוצע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ארגון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לטענת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התושבים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במזרחי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ירושלים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תומכים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חמאס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פירושה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מעוניינים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שמעוניינים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ארגון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בהנפת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דגל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וטוען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בוצעו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לשנייה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לדבריו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הבסיס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השותף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אומנם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דומיננטי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עובדות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לפסיקה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ומתחמים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נגזרו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שבסביבות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ולשיטתו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לפסוק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6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בטרם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להתייחס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לטענתו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הקיפוח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תושבי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עיסאוויה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מוביל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מבוצעות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לסברתי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המציאות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קיפוח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במגזרים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בישראל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ובמדינות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להתחשב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בענישתם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מבצעי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המפירים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ומנסים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ותושביה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לתחושת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קיפוח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הטענה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מבוצעות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Calibri"/>
          <w:sz w:val="26"/>
          <w:sz w:val="26"/>
          <w:szCs w:val="26"/>
          <w:rtl w:val="true"/>
        </w:rPr>
        <w:t>שכן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ומובנית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לצעירים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בעיסאוויה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בהתפרצויות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ספונטניות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חוזרים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ונשנים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והתארגנות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סומנו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ושלטון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כמטרות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לפגיעה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למצוות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המחוקק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בסימן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'</w:t>
        </w:r>
        <w:r>
          <w:rPr>
            <w:rStyle w:val="Hyperlink"/>
            <w:rFonts w:cs="Calibri" w:ascii="Calibri" w:hAnsi="Calibri"/>
            <w:sz w:val="26"/>
            <w:szCs w:val="26"/>
          </w:rPr>
          <w:t>1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לפרק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ו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'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שקילת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ומידת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מדיניות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הנהוגה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ראשית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אדרש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למחלוקת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בנפרד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35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4910/13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29.10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cs="Calibri" w:ascii="Calibri" w:hAnsi="Calibri"/>
          <w:sz w:val="26"/>
          <w:szCs w:val="26"/>
        </w:rPr>
        <w:t>14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דן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בהבחנה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אירועים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והמבחנים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להפעיל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בטרם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4760/14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קיסלמן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7.5.15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במותב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תלתא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מלצר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התייחסות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לפס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- 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לעניין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40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יג</w:t>
        </w:r>
      </w:hyperlink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</w:p>
    <w:p>
      <w:pPr>
        <w:pStyle w:val="Normal"/>
        <w:spacing w:lineRule="exact" w:line="280" w:before="0" w:after="240"/>
        <w:ind w:start="1361" w:end="1021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ascii="Century" w:hAnsi="Century" w:cs="Century"/>
          <w:sz w:val="26"/>
          <w:sz w:val="26"/>
          <w:szCs w:val="26"/>
          <w:rtl w:val="true"/>
        </w:rPr>
        <w:t>עניין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ג</w:t>
      </w:r>
      <w:r>
        <w:rPr>
          <w:rFonts w:cs="Century" w:ascii="Century" w:hAnsi="Century"/>
          <w:sz w:val="26"/>
          <w:szCs w:val="26"/>
          <w:rtl w:val="true"/>
        </w:rPr>
        <w:t>'</w:t>
      </w:r>
      <w:r>
        <w:rPr>
          <w:rFonts w:ascii="Century" w:hAnsi="Century" w:cs="Century"/>
          <w:sz w:val="26"/>
          <w:sz w:val="26"/>
          <w:szCs w:val="26"/>
          <w:rtl w:val="true"/>
        </w:rPr>
        <w:t>אבר</w:t>
      </w:r>
      <w:r>
        <w:rPr>
          <w:rFonts w:cs="Century" w:ascii="Century" w:hAnsi="Century"/>
          <w:sz w:val="26"/>
          <w:szCs w:val="26"/>
          <w:rtl w:val="true"/>
        </w:rPr>
        <w:t>...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אומץ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בדעת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רוב</w:t>
      </w:r>
      <w:r>
        <w:rPr>
          <w:rFonts w:cs="Calibri" w:ascii="Calibri" w:hAnsi="Calibri"/>
          <w:sz w:val="26"/>
          <w:szCs w:val="26"/>
          <w:rtl w:val="true"/>
        </w:rPr>
        <w:t>, '</w:t>
      </w:r>
      <w:r>
        <w:rPr>
          <w:rFonts w:ascii="Calibri" w:hAnsi="Calibri" w:cs="Calibri"/>
          <w:sz w:val="26"/>
          <w:sz w:val="26"/>
          <w:szCs w:val="26"/>
          <w:rtl w:val="true"/>
        </w:rPr>
        <w:t>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ההדוק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להכרעה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אימתי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ייחשבו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קביעת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ההולם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האמור</w:t>
      </w:r>
      <w:r>
        <w:rPr>
          <w:rFonts w:cs="Calibri" w:ascii="Calibri" w:hAnsi="Calibri"/>
          <w:sz w:val="26"/>
          <w:szCs w:val="26"/>
          <w:rtl w:val="true"/>
        </w:rPr>
        <w:t>, '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ביניהן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הדוק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כגון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Calibri"/>
          <w:sz w:val="26"/>
          <w:sz w:val="26"/>
          <w:szCs w:val="26"/>
          <w:rtl w:val="true"/>
        </w:rPr>
        <w:t>כאלה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שנעשו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סמיכות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זמנים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ושהן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עבריינית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cs="Calibri" w:ascii="Calibri" w:hAnsi="Calibri"/>
          <w:sz w:val="26"/>
          <w:szCs w:val="26"/>
          <w:rtl w:val="true"/>
        </w:rPr>
        <w:t>, '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בוצעו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קצרה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להפריד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ביניהן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ולחדול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מעשה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') – </w:t>
      </w:r>
      <w:r>
        <w:rPr>
          <w:rFonts w:ascii="Calibri" w:hAnsi="Calibri" w:cs="Calibri"/>
          <w:sz w:val="26"/>
          <w:sz w:val="26"/>
          <w:szCs w:val="26"/>
          <w:rtl w:val="true"/>
        </w:rPr>
        <w:t>ייחשבו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ראו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4289/14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חנונה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21.1.15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לפסק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דנציגר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בקשה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לדיון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נדחתה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hyperlink r:id="rId39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דנ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845/15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ברבי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22.3.15</w:t>
      </w:r>
      <w:r>
        <w:rPr>
          <w:rFonts w:cs="Calibri" w:ascii="Calibri" w:hAnsi="Calibri"/>
          <w:sz w:val="26"/>
          <w:szCs w:val="26"/>
          <w:rtl w:val="true"/>
        </w:rPr>
        <w:t>)).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הראשון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המתייחס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טרוריסטי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בתכלית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המתייחסים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להגדיר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לגביו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נפרד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לארבעת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עוסקים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בהשתתפות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שנערכו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יולי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דצמבר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/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שסמיכות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הזמנים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מתקיימת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מתכנית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עבריינית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שמטרתה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שיבוש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פעילות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להבחין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כיוון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להתפרעות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ציוד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מטווח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אפס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וחמורות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בסופו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הדמיון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והרצף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המפורטות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מצדיקים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המסקנה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7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יצוין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המקסימאלי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כדלקמן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טרוריסטי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עשרים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</w:t>
      </w:r>
      <w:r>
        <w:rPr>
          <w:rFonts w:ascii="Calibri" w:hAnsi="Calibri" w:cs="Calibri"/>
          <w:sz w:val="26"/>
          <w:sz w:val="26"/>
          <w:szCs w:val="26"/>
          <w:rtl w:val="true"/>
        </w:rPr>
        <w:t>חמש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שנתיים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לקביעת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הראויים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שלפנינו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הראשון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והמדינה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תומך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שנפגעו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והמדינה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להכביר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בהחמרת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בתקופה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במזרח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ירושלים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לצערנו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עוסקים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חדשות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לבקרים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40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2337/13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קוואסמה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16.9.13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ארבל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exact" w:line="280" w:before="0" w:after="360"/>
        <w:ind w:start="1361" w:end="1021"/>
        <w:jc w:val="both"/>
        <w:rPr>
          <w:rFonts w:ascii="Calibri" w:hAnsi="Calibri" w:cs="Calibri"/>
          <w:sz w:val="26"/>
          <w:szCs w:val="26"/>
        </w:rPr>
      </w:pP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סוג עבירות זה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שעניינן בקבוקי תבערה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מחייב ענישה מחמירה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.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תוצאותיו של בקבוק תבערה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וכבר היו דברים מעולם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עלולות להיות קשות ביותר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 xml:space="preserve">וראוי אפוא כי ייצא הקול שהענישה בכגון דא לא תהא קלה 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...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 xml:space="preserve">וכבר חזרתי והדגשתי בעבר שעל בתי המשפט 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>'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להעביר מסר חד משמעי ונוקב של הרתעה מפני מעשים אלו שחוזרים ונשנים לצערנו ולא פעם מסתיימים בפגיעה ממש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',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וכן כי במעשים אלו שמבוצעים על רקע אידיאולוגי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>-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 xml:space="preserve">לאומני 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>'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נדחים שיקולים אחרים מפני שיקול ההרתעה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' ...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לפיכך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על יידוי בקבוקי תבערה העלולים לגרום להתלקחות רחבה ואף לפגיעה באדם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 xml:space="preserve">ראוי שתינתן ענישה הולמת 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...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בהתחשב במסוכנות הרבה של העבירות הללו יש הכרח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אפוא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במדיניות של ענישה מכבידה על מנת להוקיע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להרתיע ולשרש מעשים שכאלה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.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 xml:space="preserve">מדיניות ענישה זו תבטא באופן הולם את ההגנה על הערך החברתי הנפגע כתוצאה מפעילות עבריינית זו 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- </w:t>
      </w:r>
      <w:r>
        <w:rPr>
          <w:rFonts w:ascii="Arial TUR" w:hAnsi="Arial TUR" w:cs="Arial TUR"/>
          <w:spacing w:val="10"/>
          <w:sz w:val="26"/>
          <w:sz w:val="26"/>
          <w:szCs w:val="26"/>
          <w:rtl w:val="true"/>
        </w:rPr>
        <w:t>שמירה על ביטחון הציבור ושלטון החוק</w:t>
      </w:r>
      <w:r>
        <w:rPr>
          <w:rFonts w:cs="Arial TUR" w:ascii="Arial TUR" w:hAnsi="Arial TUR"/>
          <w:spacing w:val="10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שלפניי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המוגנים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תמיכת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החמאס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מבוססת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מתפרשת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בפעילויות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הארגון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דגלים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והביע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הזדהות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עמדותיו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עסקינן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בפעילות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נמשכת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פעולותיו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דומיננטי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בהתפרעויות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למדיניות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הנוהגת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טרוריסטי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הציגו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פסיקה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41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ש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sz w:val="26"/>
            <w:szCs w:val="26"/>
          </w:rPr>
          <w:t>40492-12-14</w:t>
        </w:r>
      </w:hyperlink>
      <w:r>
        <w:rPr>
          <w:rFonts w:cs="Calibri" w:ascii="Calibri" w:hAnsi="Calibri"/>
          <w:b/>
          <w:bCs/>
          <w:color w:val="000000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color w:val="000000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sz w:val="26"/>
          <w:sz w:val="26"/>
          <w:szCs w:val="26"/>
          <w:rtl w:val="true"/>
        </w:rPr>
        <w:t>עומר</w:t>
      </w:r>
      <w:r>
        <w:rPr>
          <w:rFonts w:ascii="Calibri" w:hAnsi="Calibri" w:cs="Calibr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sz w:val="26"/>
          <w:sz w:val="26"/>
          <w:szCs w:val="26"/>
          <w:rtl w:val="true"/>
        </w:rPr>
        <w:t>אבו</w:t>
      </w:r>
      <w:r>
        <w:rPr>
          <w:rFonts w:ascii="Calibri" w:hAnsi="Calibri" w:cs="Calibri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sz w:val="26"/>
          <w:sz w:val="26"/>
          <w:szCs w:val="26"/>
          <w:rtl w:val="true"/>
        </w:rPr>
        <w:t>קוש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8.9.15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שעסקו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פרסומים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ברשתות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בשבח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24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ונגזרו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התחתון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בודדים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ומתוך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התחשבות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לרבות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חרטה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וסיכויי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בוטלה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הרשעתו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צ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התחייבות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כספית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ותשלום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הוצאות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75,000</w:t>
      </w:r>
      <w:r>
        <w:rPr>
          <w:rFonts w:cs="Times New Roman"/>
          <w:sz w:val="26"/>
          <w:szCs w:val="26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ראו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והסתה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הרשתות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hyperlink r:id="rId42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"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-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ם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 xml:space="preserve">) </w:t>
        </w:r>
        <w:r>
          <w:rPr>
            <w:rStyle w:val="Hyperlink"/>
            <w:rFonts w:cs="David" w:ascii="David" w:hAnsi="David"/>
            <w:sz w:val="26"/>
            <w:szCs w:val="26"/>
          </w:rPr>
          <w:t>44920-12-14</w:t>
        </w:r>
      </w:hyperlink>
      <w:r>
        <w:rPr>
          <w:rFonts w:cs="David" w:ascii="David" w:hAnsi="David"/>
          <w:color w:val="000000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color w:val="00000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אברהים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עאבדין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color w:val="000000"/>
          <w:sz w:val="26"/>
          <w:szCs w:val="26"/>
          <w:rtl w:val="true"/>
        </w:rPr>
        <w:t>(</w:t>
      </w:r>
      <w:r>
        <w:rPr>
          <w:rFonts w:cs="David" w:ascii="David" w:hAnsi="David"/>
          <w:color w:val="000000"/>
          <w:sz w:val="26"/>
          <w:szCs w:val="26"/>
        </w:rPr>
        <w:t>9.6.15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)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והפסיקה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שנסקרה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שם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בו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קבע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בית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המשפט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מתחם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שנע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בין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color w:val="000000"/>
          <w:sz w:val="26"/>
          <w:szCs w:val="26"/>
        </w:rPr>
        <w:t>9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color w:val="000000"/>
          <w:sz w:val="26"/>
          <w:szCs w:val="26"/>
          <w:rtl w:val="true"/>
        </w:rPr>
        <w:t>-</w:t>
      </w:r>
      <w:r>
        <w:rPr>
          <w:rFonts w:cs="David" w:ascii="David" w:hAnsi="David"/>
          <w:color w:val="000000"/>
          <w:sz w:val="26"/>
          <w:szCs w:val="26"/>
        </w:rPr>
        <w:t>24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חודשי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מאסר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בפועל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ועונש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של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color w:val="000000"/>
          <w:sz w:val="26"/>
          <w:szCs w:val="26"/>
        </w:rPr>
        <w:t>10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חודשי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מאסר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.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יחד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עם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זאת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אין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להתעלם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מן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העובדה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שתמיכה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בארגון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טרור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אשר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באה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לידי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ביטוי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מעשי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בדרך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של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פרסומים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ברשתות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החברתיות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שונה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מתמיכה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באופן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של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השתתפות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באופן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אקטיבי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בפעילויות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של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הארגון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כפי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שעשה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הנאשם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בענייננו</w:t>
      </w:r>
      <w:r>
        <w:rPr>
          <w:rFonts w:cs="David" w:ascii="David" w:hAnsi="David"/>
          <w:color w:val="000000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43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"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-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ם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 xml:space="preserve">) </w:t>
        </w:r>
        <w:r>
          <w:rPr>
            <w:rStyle w:val="Hyperlink"/>
            <w:rFonts w:cs="David" w:ascii="David" w:hAnsi="David"/>
            <w:sz w:val="26"/>
            <w:szCs w:val="26"/>
          </w:rPr>
          <w:t>42199-12-14</w:t>
        </w:r>
      </w:hyperlink>
      <w:r>
        <w:rPr>
          <w:rFonts w:cs="David" w:ascii="David" w:hAnsi="David"/>
          <w:color w:val="000000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color w:val="00000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עובידה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עמירה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color w:val="000000"/>
          <w:sz w:val="26"/>
          <w:szCs w:val="26"/>
          <w:rtl w:val="true"/>
        </w:rPr>
        <w:t>(</w:t>
      </w:r>
      <w:r>
        <w:rPr>
          <w:rFonts w:cs="David" w:ascii="David" w:hAnsi="David"/>
          <w:color w:val="000000"/>
          <w:sz w:val="26"/>
          <w:szCs w:val="26"/>
        </w:rPr>
        <w:t>30.6.15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)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הורשע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הנאשם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בעבירות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חברות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ותמיכה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בארגון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טרוריסטי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בנסיבות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הדומות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מעט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לענייננו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color w:val="000000"/>
          <w:sz w:val="26"/>
          <w:szCs w:val="26"/>
          <w:rtl w:val="true"/>
        </w:rPr>
        <w:t>(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נקיטת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חלק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בפעילויות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דתיות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מנהלתיות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וחינוכיות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של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חמאס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פעולות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תמיכה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באסירי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חמאס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שובתי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רעב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ומשוחררי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עסקת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שליט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ועד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).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בית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משפט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השלום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קבע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מתחם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לשתי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העבירות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גם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יחד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color w:val="000000"/>
          <w:sz w:val="26"/>
          <w:szCs w:val="26"/>
          <w:rtl w:val="true"/>
        </w:rPr>
        <w:t>(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כאשר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חברות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בארגון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טרוריסטי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חמורה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יותר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מתמיכה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בארגון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),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הנע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בין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מספר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חודשים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חד</w:t>
      </w:r>
      <w:r>
        <w:rPr>
          <w:rFonts w:cs="David" w:ascii="David" w:hAnsi="David"/>
          <w:color w:val="000000"/>
          <w:sz w:val="26"/>
          <w:szCs w:val="26"/>
          <w:rtl w:val="true"/>
        </w:rPr>
        <w:t>-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ספרתי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גבוה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- </w:t>
      </w:r>
      <w:r>
        <w:rPr>
          <w:rFonts w:cs="David" w:ascii="David" w:hAnsi="David"/>
          <w:color w:val="000000"/>
          <w:sz w:val="26"/>
          <w:szCs w:val="26"/>
        </w:rPr>
        <w:t>24</w:t>
      </w:r>
      <w:r>
        <w:rPr>
          <w:rFonts w:cs="David" w:ascii="David" w:hAnsi="David"/>
          <w:color w:val="000000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חודשי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מאסר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>בפועל</w:t>
      </w:r>
      <w:r>
        <w:rPr>
          <w:rFonts w:cs="David" w:ascii="David" w:hAnsi="David"/>
          <w:color w:val="000000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למדיניות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הנוהגת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הנוגעות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7643/11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מסוודה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7.4.13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ביהמ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הותיר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בסילוואן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נפגעו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שהושלכו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וספגו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לתקיפת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2579/14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פרחאן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25.5.15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הותיר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וחצי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המערער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פשע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ליידות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למסגד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אקצא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המערער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וייצרו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באפוד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לבעור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יוחסה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חשיבות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רגיש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אקצא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כנסיבה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לחומרה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מענייננו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בלבד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46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"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-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ם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 xml:space="preserve">) </w:t>
        </w:r>
        <w:r>
          <w:rPr>
            <w:rStyle w:val="Hyperlink"/>
            <w:rFonts w:cs="David" w:ascii="David" w:hAnsi="David"/>
            <w:sz w:val="26"/>
            <w:szCs w:val="26"/>
          </w:rPr>
          <w:t>41851-06-12</w:t>
        </w:r>
      </w:hyperlink>
      <w:r>
        <w:rPr>
          <w:rFonts w:cs="David" w:ascii="David" w:hAnsi="David"/>
          <w:color w:val="000000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color w:val="00000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בצבוץ</w:t>
      </w:r>
      <w:r>
        <w:rPr>
          <w:rFonts w:ascii="David" w:hAnsi="David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color w:val="000000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4.3.13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סגן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נועם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לכל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הכולל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יידוי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בקבוק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כלי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בניין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מגורים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שבו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הייתה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הרשעה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ייצור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נשק</w:t>
      </w:r>
      <w:r>
        <w:rPr>
          <w:rFonts w:cs="Calibri" w:ascii="Calibri" w:hAnsi="Calibri"/>
          <w:sz w:val="26"/>
          <w:szCs w:val="26"/>
          <w:rtl w:val="true"/>
          <w:lang w:eastAsia="he-IL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ניסיון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הצתה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וניסיון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לגרימת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cs="Calibri" w:ascii="Calibri" w:hAnsi="Calibri"/>
          <w:sz w:val="26"/>
          <w:szCs w:val="26"/>
          <w:lang w:eastAsia="he-IL"/>
        </w:rPr>
        <w:t>12</w:t>
      </w:r>
      <w:r>
        <w:rPr>
          <w:rFonts w:cs="Calibri" w:ascii="Calibri" w:hAnsi="Calibri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ל</w:t>
      </w:r>
      <w:r>
        <w:rPr>
          <w:rFonts w:cs="Calibri" w:ascii="Calibri" w:hAnsi="Calibri"/>
          <w:sz w:val="26"/>
          <w:szCs w:val="26"/>
          <w:rtl w:val="true"/>
          <w:lang w:eastAsia="he-IL"/>
        </w:rPr>
        <w:t>-</w:t>
      </w:r>
      <w:r>
        <w:rPr>
          <w:rFonts w:cs="Calibri" w:ascii="Calibri" w:hAnsi="Calibri"/>
          <w:sz w:val="26"/>
          <w:szCs w:val="26"/>
          <w:lang w:eastAsia="he-IL"/>
        </w:rPr>
        <w:t>40</w:t>
      </w:r>
      <w:r>
        <w:rPr>
          <w:rFonts w:cs="Calibri" w:ascii="Calibri" w:hAnsi="Calibri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למבצע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העיקרי</w:t>
      </w:r>
      <w:r>
        <w:rPr>
          <w:rFonts w:cs="Calibri" w:ascii="Calibri" w:hAnsi="Calibri"/>
          <w:sz w:val="26"/>
          <w:szCs w:val="26"/>
          <w:rtl w:val="true"/>
          <w:lang w:eastAsia="he-IL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ובין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cs="Calibri" w:ascii="Calibri" w:hAnsi="Calibri"/>
          <w:sz w:val="26"/>
          <w:szCs w:val="26"/>
          <w:lang w:eastAsia="he-IL"/>
        </w:rPr>
        <w:t>8</w:t>
      </w:r>
      <w:r>
        <w:rPr>
          <w:rFonts w:cs="Calibri" w:ascii="Calibri" w:hAnsi="Calibri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ל</w:t>
      </w:r>
      <w:r>
        <w:rPr>
          <w:rFonts w:cs="Calibri" w:ascii="Calibri" w:hAnsi="Calibri"/>
          <w:sz w:val="26"/>
          <w:szCs w:val="26"/>
          <w:rtl w:val="true"/>
          <w:lang w:eastAsia="he-IL"/>
        </w:rPr>
        <w:t>-</w:t>
      </w:r>
      <w:r>
        <w:rPr>
          <w:rFonts w:cs="Calibri" w:ascii="Calibri" w:hAnsi="Calibri"/>
          <w:sz w:val="26"/>
          <w:szCs w:val="26"/>
          <w:lang w:eastAsia="he-IL"/>
        </w:rPr>
        <w:t>30</w:t>
      </w:r>
      <w:r>
        <w:rPr>
          <w:rFonts w:cs="Calibri" w:ascii="Calibri" w:hAnsi="Calibri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בעניינו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eastAsia="he-IL"/>
        </w:rPr>
        <w:t>מסייע</w:t>
      </w:r>
      <w:r>
        <w:rPr>
          <w:rFonts w:cs="Calibri" w:ascii="Calibri" w:hAnsi="Calibri"/>
          <w:sz w:val="26"/>
          <w:szCs w:val="26"/>
          <w:rtl w:val="true"/>
          <w:lang w:eastAsia="he-IL"/>
        </w:rPr>
        <w:t>.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ודינם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40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hyperlink r:id="rId47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2337/13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קוואסמה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16.9.13</w:t>
      </w:r>
      <w:r>
        <w:rPr>
          <w:rFonts w:cs="Calibri" w:ascii="Calibri" w:hAnsi="Calibri"/>
          <w:sz w:val="26"/>
          <w:szCs w:val="26"/>
          <w:rtl w:val="true"/>
        </w:rPr>
        <w:t xml:space="preserve">)).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48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"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-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ם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 xml:space="preserve">) </w:t>
        </w:r>
        <w:r>
          <w:rPr>
            <w:rStyle w:val="Hyperlink"/>
            <w:rFonts w:cs="David" w:ascii="David" w:hAnsi="David"/>
            <w:sz w:val="26"/>
            <w:szCs w:val="26"/>
          </w:rPr>
          <w:t>40011-04-14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21.9.15</w:t>
      </w:r>
      <w:r>
        <w:rPr>
          <w:rFonts w:cs="Calibri" w:ascii="Calibri" w:hAnsi="Calibri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פס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עביד</w:t>
      </w:r>
      <w:r>
        <w:rPr>
          <w:rFonts w:cs="Arial" w:ascii="Arial" w:hAnsi="Arial"/>
          <w:sz w:val="26"/>
          <w:szCs w:val="26"/>
          <w:rtl w:val="true"/>
        </w:rPr>
        <w:t>")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השוואה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והסתמכות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בצבוץ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cs="Arial" w:ascii="Calibri" w:hAnsi="Calibri"/>
          <w:sz w:val="22"/>
          <w:szCs w:val="22"/>
          <w:rtl w:val="true"/>
          <w:lang w:eastAsia="he-IL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  <w:lang w:eastAsia="he-IL"/>
        </w:rPr>
        <w:t>ככל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eastAsia="he-IL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  <w:lang w:eastAsia="he-IL"/>
        </w:rPr>
        <w:t>שהוא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eastAsia="he-IL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  <w:lang w:eastAsia="he-IL"/>
        </w:rPr>
        <w:t>מתייחס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eastAsia="he-IL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  <w:lang w:eastAsia="he-IL"/>
        </w:rPr>
        <w:t>לעבירות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eastAsia="he-IL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  <w:lang w:eastAsia="he-IL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eastAsia="he-IL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  <w:lang w:eastAsia="he-IL"/>
        </w:rPr>
        <w:t>יידוי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eastAsia="he-IL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  <w:lang w:eastAsia="he-IL"/>
        </w:rPr>
        <w:t>בקבוקי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eastAsia="he-IL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  <w:lang w:eastAsia="he-IL"/>
        </w:rPr>
        <w:t>תבערה</w:t>
      </w:r>
      <w:r>
        <w:rPr>
          <w:rFonts w:cs="Arial" w:ascii="Calibri" w:hAnsi="Calibri"/>
          <w:sz w:val="22"/>
          <w:szCs w:val="22"/>
          <w:rtl w:val="true"/>
          <w:lang w:eastAsia="he-IL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  <w:lang w:eastAsia="he-IL"/>
        </w:rPr>
        <w:t>ש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50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למהות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ולחלקם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בשמונה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40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בארבעה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בתוספת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מותנה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24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52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הטיעונים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שהתקיים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9.3.16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שהגישה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המדינה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sz w:val="26"/>
          <w:sz w:val="26"/>
          <w:szCs w:val="26"/>
          <w:rtl w:val="true"/>
        </w:rPr>
        <w:t>עביד</w:t>
      </w:r>
      <w:r>
        <w:rPr>
          <w:rFonts w:cs="Arial" w:ascii="Arial" w:hAnsi="Arial"/>
          <w:b/>
          <w:bCs/>
          <w:color w:val="333333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אשר בו התקבל הערעור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נוטה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שמצדיק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התערבות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לדבריו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למותר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לציין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הרבה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המסוכנות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סכנת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נפשות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פשוטו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כמשמעו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המשיבים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ואחרים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שכמותם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ההסלמה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מדאיגה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ויש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להעניש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ביד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לעשות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לשירוש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התופעה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ברי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ברקע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b/>
          <w:bCs/>
          <w:sz w:val="26"/>
          <w:szCs w:val="26"/>
          <w:rtl w:val="true"/>
        </w:rPr>
        <w:t>-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לאומני</w:t>
      </w:r>
      <w:r>
        <w:rPr>
          <w:rFonts w:cs="Calibri" w:ascii="Calibri" w:hAnsi="Calibri"/>
          <w:b/>
          <w:bCs/>
          <w:sz w:val="26"/>
          <w:szCs w:val="26"/>
          <w:rtl w:val="true"/>
        </w:rPr>
        <w:t>-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גזעני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והרי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חשוב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בשיקולי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עודנו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מדברים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באנשים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צעירים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אינם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קטינים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עוד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הרי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שעתידם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לפניהם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ובד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בבד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לסתום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הגולל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שיקולי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שיקום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והתחשבות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אישיות</w:t>
      </w:r>
      <w:r>
        <w:rPr>
          <w:rFonts w:cs="Calibri" w:ascii="Calibri" w:hAnsi="Calibri"/>
          <w:sz w:val="26"/>
          <w:szCs w:val="26"/>
          <w:rtl w:val="true"/>
        </w:rPr>
        <w:t xml:space="preserve">."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שנפסקו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שבסופו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נפסקו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82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חלף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50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חלף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חלף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sz w:val="26"/>
          <w:sz w:val="26"/>
          <w:szCs w:val="26"/>
          <w:rtl w:val="true"/>
        </w:rPr>
        <w:t>ולנאשם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66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חלף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רחב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יחסית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הכרוכות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בזריקת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כמובן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והתארגנות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בקטינים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לגביהם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בענישה</w:t>
      </w:r>
      <w:r>
        <w:rPr>
          <w:rFonts w:cs="Calibri" w:ascii="Calibri" w:hAnsi="Calibri"/>
          <w:sz w:val="26"/>
          <w:szCs w:val="26"/>
          <w:rtl w:val="true"/>
        </w:rPr>
        <w:t xml:space="preserve">). </w:t>
      </w:r>
      <w:r>
        <w:rPr>
          <w:rFonts w:ascii="Calibri" w:hAnsi="Calibri" w:cs="Calibri"/>
          <w:sz w:val="26"/>
          <w:sz w:val="26"/>
          <w:szCs w:val="26"/>
          <w:rtl w:val="true"/>
        </w:rPr>
        <w:t>מכל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ההסלמה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לאחרונה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שצריכה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להנחותינו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בגזירת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דא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40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ט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'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50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הרלוונטיות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נסיבה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ונסיבה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b/>
          <w:bCs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התמיכה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החמאס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מתפרשת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כולל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בתהלוכות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דגלי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חמאס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לרבות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בתהלוכה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בעיסאוויה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הלחימה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שהתנהלה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2009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ברצועת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עזה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דגלי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חמאס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בכנסים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נשמעו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שיעורי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באסירים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ובמשפחותיהם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להשתתפות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בפעילויות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נדרשה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מראש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צפוי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הגברת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והזדהות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מטרותיו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ובעידוד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לפעולות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בעצמו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לזהות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הייתה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הפסול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במעשיו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למרות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קטין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שהביאו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דחיתי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הטענה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שהמניע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פעולות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היסחפות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רגעית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חולפת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היגררות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נעשו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ורצון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להכשילם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מלאכתם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הזדהות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החמאס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אישומים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</w:rPr>
        <w:t>4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b/>
          <w:bCs/>
          <w:sz w:val="26"/>
          <w:szCs w:val="26"/>
          <w:rtl w:val="true"/>
        </w:rPr>
        <w:t>-</w:t>
      </w:r>
      <w:r>
        <w:rPr>
          <w:rFonts w:cs="Calibri" w:ascii="Calibri" w:hAnsi="Calibri"/>
          <w:b/>
          <w:bCs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הצטייד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מראש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לקראת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התפרעות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הצטייד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בארבעה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קופסאות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רוגטקות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וגולות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דגלי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חמאס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ורעלה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שהכין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הצטייד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ארגזי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היחסי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לרכוש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צפוי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ברכוש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שהביאו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כמתואר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לשלוט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ולהימנע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ואחז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שאחז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מטווח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קרוב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השוטרים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המלמדות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מראש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צפוי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גדול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ביידוי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מטווח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אפס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פורט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ניצל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משמעותית</w:t>
      </w:r>
      <w:r>
        <w:rPr>
          <w:rFonts w:cs="Calibri" w:ascii="Calibri" w:hAnsi="Calibri"/>
          <w:sz w:val="26"/>
          <w:szCs w:val="26"/>
          <w:rtl w:val="true"/>
        </w:rPr>
        <w:t xml:space="preserve">).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ספק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מאוד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</w:rPr>
        <w:t>7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ובמהלכה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ורימון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נמלט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מצוין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שקדם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להתפרעות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קיומו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בשוטר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שנגרמה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הצפוי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להימנע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קיימת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ומודגשת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עקב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להתפרעות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שאר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דלעיל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ששקלתי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הנסיבות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להעמיד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כדלקמן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793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>;</w:t>
      </w:r>
    </w:p>
    <w:p>
      <w:pPr>
        <w:pStyle w:val="Normal"/>
        <w:spacing w:lineRule="auto" w:line="360" w:before="0" w:after="240"/>
        <w:ind w:start="793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cs="Calibri" w:ascii="Calibri" w:hAnsi="Calibri"/>
          <w:sz w:val="26"/>
          <w:szCs w:val="26"/>
        </w:rPr>
        <w:t>50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מתקיימים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חריגים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הנוגעים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המצדיקים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סטייה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מהמתחמים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שנקבעו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לקולא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בשיקום</w:t>
      </w:r>
      <w:r>
        <w:rPr>
          <w:rFonts w:cs="Calibri" w:ascii="Calibri" w:hAnsi="Calibri"/>
          <w:sz w:val="26"/>
          <w:szCs w:val="26"/>
          <w:rtl w:val="true"/>
        </w:rPr>
        <w:t xml:space="preserve">), 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לחומרה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להחמיר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למתחמים</w:t>
      </w:r>
      <w:r>
        <w:rPr>
          <w:rFonts w:cs="Segoe UI" w:ascii="Segoe UI" w:hAnsi="Segoe UI"/>
          <w:color w:val="000000"/>
          <w:sz w:val="26"/>
          <w:szCs w:val="26"/>
          <w:rtl w:val="true"/>
        </w:rPr>
        <w:t>.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לבחינת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40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יא</w:t>
        </w:r>
      </w:hyperlink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52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מיוחדת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הצפויה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למשפחתו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עקב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לקולא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הצעיר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21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העובדה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שיפוטי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אשקול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העובדה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מהתסקיר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חרטה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הסיכוי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בינוני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להיעדרו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מסכים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כיוון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ארוכה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להיעדר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נמוך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בהשוואה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ראשונה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בודד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ההרשעה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בתמיכה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והזדהות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החמאס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בעובדות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המדגישה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ביצועיהן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להיעדר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כאמור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טוען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להתחשב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שותפו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סגור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גדול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ודומיננטי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היחיד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המשותף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הראשון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בכביש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הגבול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בעיסאוויה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פחות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האמור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להתייחס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המחייב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שייגזר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בהתאם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53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לסעיף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40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יג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(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ששקלתי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המפורטים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הבאים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–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ובגין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6.5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15.3.15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בחופף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קנס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10,000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שישולם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מהיום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מותנה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36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זכות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ניסן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בן ציון גרינברגר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181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14476-04-15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מועאד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בן גמאל עביד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366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6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stParagraphChar">
    <w:name w:val="List Paragraph Char"/>
    <w:qFormat/>
    <w:rPr>
      <w:rFonts w:ascii="Calibri" w:hAnsi="Calibri" w:cs="Arial"/>
      <w:sz w:val="22"/>
      <w:szCs w:val="22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240"/>
      <w:ind w:hanging="0" w:start="720" w:end="0"/>
      <w:contextualSpacing/>
      <w:jc w:val="both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4.g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52" TargetMode="External"/><Relationship Id="rId9" Type="http://schemas.openxmlformats.org/officeDocument/2006/relationships/hyperlink" Target="http://www.nevo.co.il/law/70301/274.1" TargetMode="External"/><Relationship Id="rId10" Type="http://schemas.openxmlformats.org/officeDocument/2006/relationships/hyperlink" Target="http://www.nevo.co.il/law/70301/274.2" TargetMode="External"/><Relationship Id="rId11" Type="http://schemas.openxmlformats.org/officeDocument/2006/relationships/hyperlink" Target="http://www.nevo.co.il/law/70301/274.3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law/70301/338.5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law/70301/40jc.b" TargetMode="External"/><Relationship Id="rId17" Type="http://schemas.openxmlformats.org/officeDocument/2006/relationships/hyperlink" Target="http://www.nevo.co.il/law/70301/fCaS" TargetMode="External"/><Relationship Id="rId18" Type="http://schemas.openxmlformats.org/officeDocument/2006/relationships/hyperlink" Target="http://www.nevo.co.il/law/72515/4.g" TargetMode="External"/><Relationship Id="rId19" Type="http://schemas.openxmlformats.org/officeDocument/2006/relationships/hyperlink" Target="http://www.nevo.co.il/law/72515" TargetMode="External"/><Relationship Id="rId20" Type="http://schemas.openxmlformats.org/officeDocument/2006/relationships/hyperlink" Target="http://www.nevo.co.il/law/70301/329.a.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2515/4.g" TargetMode="External"/><Relationship Id="rId24" Type="http://schemas.openxmlformats.org/officeDocument/2006/relationships/hyperlink" Target="http://www.nevo.co.il/law/70301/329.a.2" TargetMode="External"/><Relationship Id="rId25" Type="http://schemas.openxmlformats.org/officeDocument/2006/relationships/hyperlink" Target="http://www.nevo.co.il/law/70301/274.1" TargetMode="External"/><Relationship Id="rId26" Type="http://schemas.openxmlformats.org/officeDocument/2006/relationships/hyperlink" Target="http://www.nevo.co.il/law/70301/274.2" TargetMode="External"/><Relationship Id="rId27" Type="http://schemas.openxmlformats.org/officeDocument/2006/relationships/hyperlink" Target="http://www.nevo.co.il/law/70301/274.3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/338.5" TargetMode="External"/><Relationship Id="rId30" Type="http://schemas.openxmlformats.org/officeDocument/2006/relationships/hyperlink" Target="http://www.nevo.co.il/law/70301/152" TargetMode="External"/><Relationship Id="rId31" Type="http://schemas.openxmlformats.org/officeDocument/2006/relationships/hyperlink" Target="http://www.nevo.co.il/law/70301/274.1" TargetMode="External"/><Relationship Id="rId32" Type="http://schemas.openxmlformats.org/officeDocument/2006/relationships/hyperlink" Target="http://www.nevo.co.il/law/70301/274.2" TargetMode="External"/><Relationship Id="rId33" Type="http://schemas.openxmlformats.org/officeDocument/2006/relationships/hyperlink" Target="http://www.nevo.co.il/law/70301/274.3" TargetMode="External"/><Relationship Id="rId34" Type="http://schemas.openxmlformats.org/officeDocument/2006/relationships/hyperlink" Target="http://www.nevo.co.il/law/70301/fCaS" TargetMode="External"/><Relationship Id="rId35" Type="http://schemas.openxmlformats.org/officeDocument/2006/relationships/hyperlink" Target="http://www.nevo.co.il/case/13093721" TargetMode="External"/><Relationship Id="rId36" Type="http://schemas.openxmlformats.org/officeDocument/2006/relationships/hyperlink" Target="http://www.nevo.co.il/case/17023776" TargetMode="External"/><Relationship Id="rId37" Type="http://schemas.openxmlformats.org/officeDocument/2006/relationships/hyperlink" Target="http://www.nevo.co.il/law/70301/40jc" TargetMode="External"/><Relationship Id="rId38" Type="http://schemas.openxmlformats.org/officeDocument/2006/relationships/hyperlink" Target="http://www.nevo.co.il/case/17009738" TargetMode="External"/><Relationship Id="rId39" Type="http://schemas.openxmlformats.org/officeDocument/2006/relationships/hyperlink" Target="http://www.nevo.co.il/case/20009883" TargetMode="External"/><Relationship Id="rId40" Type="http://schemas.openxmlformats.org/officeDocument/2006/relationships/hyperlink" Target="http://www.nevo.co.il/case/6859579" TargetMode="External"/><Relationship Id="rId41" Type="http://schemas.openxmlformats.org/officeDocument/2006/relationships/hyperlink" Target="http://www.nevo.co.il/case/18745026" TargetMode="External"/><Relationship Id="rId42" Type="http://schemas.openxmlformats.org/officeDocument/2006/relationships/hyperlink" Target="http://www.nevo.co.il/case/18750191" TargetMode="External"/><Relationship Id="rId43" Type="http://schemas.openxmlformats.org/officeDocument/2006/relationships/hyperlink" Target="http://www.nevo.co.il/case/18747111" TargetMode="External"/><Relationship Id="rId44" Type="http://schemas.openxmlformats.org/officeDocument/2006/relationships/hyperlink" Target="http://www.nevo.co.il/case/5603159" TargetMode="External"/><Relationship Id="rId45" Type="http://schemas.openxmlformats.org/officeDocument/2006/relationships/hyperlink" Target="http://www.nevo.co.il/case/13104258" TargetMode="External"/><Relationship Id="rId46" Type="http://schemas.openxmlformats.org/officeDocument/2006/relationships/hyperlink" Target="http://www.nevo.co.il/case/3553372" TargetMode="External"/><Relationship Id="rId47" Type="http://schemas.openxmlformats.org/officeDocument/2006/relationships/hyperlink" Target="http://www.nevo.co.il/case/6859579" TargetMode="External"/><Relationship Id="rId48" Type="http://schemas.openxmlformats.org/officeDocument/2006/relationships/hyperlink" Target="http://www.nevo.co.il/case/16892819" TargetMode="External"/><Relationship Id="rId49" Type="http://schemas.openxmlformats.org/officeDocument/2006/relationships/hyperlink" Target="http://www.nevo.co.il/law/70301/40i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jc.b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2017-02-06T12:15:00Z</dcterms:created>
  <dc:creator> </dc:creator>
  <dc:description/>
  <cp:keywords/>
  <dc:language>en-IL</dc:language>
  <cp:lastModifiedBy>Tali-a</cp:lastModifiedBy>
  <dcterms:modified xsi:type="dcterms:W3CDTF">2017-02-06T12:15:00Z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מועאד' בן גמאל עביד;עומר בן מוחמד אעבד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13093721;17023776;17009738;20009883;6859579:2;18745026;18750191;18747111;5603159;13104258;3553372;16892819</vt:lpwstr>
  </property>
  <property fmtid="{D5CDD505-2E9C-101B-9397-08002B2CF9AE}" pid="9" name="CITY">
    <vt:lpwstr>י-ם</vt:lpwstr>
  </property>
  <property fmtid="{D5CDD505-2E9C-101B-9397-08002B2CF9AE}" pid="10" name="DATE">
    <vt:lpwstr>20160411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בן ציון גרינברגר</vt:lpwstr>
  </property>
  <property fmtid="{D5CDD505-2E9C-101B-9397-08002B2CF9AE}" pid="14" name="LAWLISTTMP1">
    <vt:lpwstr>72515/004.g:2</vt:lpwstr>
  </property>
  <property fmtid="{D5CDD505-2E9C-101B-9397-08002B2CF9AE}" pid="15" name="LAWLISTTMP2">
    <vt:lpwstr>70301/329.a.2:2;144.b2;274.1:2;274.2:2;274.3:2;025;338.5;152;fCaS;40jc;040i;40ja;40jc.b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14476</vt:lpwstr>
  </property>
  <property fmtid="{D5CDD505-2E9C-101B-9397-08002B2CF9AE}" pid="23" name="NEWPARTB">
    <vt:lpwstr>04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390020160411</vt:lpwstr>
  </property>
  <property fmtid="{D5CDD505-2E9C-101B-9397-08002B2CF9AE}" pid="35" name="TYPE_N_DATE">
    <vt:lpwstr>39020160411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