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בחדרה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14492-11-09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ותד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מוחמד מסארווה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עאדל ותד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ליאור בנימין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בעצמו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סאהר מוחסן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LastJudge"/>
      <w:bookmarkStart w:id="5" w:name="PsakDin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/>
      </w:pPr>
      <w:bookmarkStart w:id="6" w:name="PsakDin"/>
      <w:bookmarkStart w:id="7" w:name="ABSTRACT_START"/>
      <w:bookmarkEnd w:id="6"/>
      <w:bookmarkEnd w:id="7"/>
      <w:r>
        <w:rPr>
          <w:rtl w:val="true"/>
        </w:rPr>
        <w:t>הנאשם הורשע ע</w:t>
      </w:r>
      <w:r>
        <w:rPr>
          <w:rtl w:val="true"/>
        </w:rPr>
        <w:t>"</w:t>
      </w:r>
      <w:r>
        <w:rPr>
          <w:rtl w:val="true"/>
        </w:rPr>
        <w:t xml:space="preserve">פ הודאתו בעבירות המיוחסות לו בכתב האישום שעניינן החזקת נשק שלא כדין </w:t>
      </w:r>
      <w:r>
        <w:rPr>
          <w:rtl w:val="true"/>
        </w:rPr>
        <w:t>–</w:t>
      </w:r>
      <w:r>
        <w:rPr>
          <w:rtl w:val="true"/>
        </w:rPr>
        <w:t xml:space="preserve"> עבירה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והחזקת תחמושת של כלי נשק </w:t>
      </w:r>
      <w:r>
        <w:rPr>
          <w:rtl w:val="true"/>
        </w:rPr>
        <w:t>–</w:t>
      </w:r>
      <w:r>
        <w:rPr>
          <w:rtl w:val="true"/>
        </w:rPr>
        <w:t xml:space="preserve"> עבירה לפי סעיף </w:t>
      </w:r>
      <w:r>
        <w:rPr/>
        <w:t>144</w:t>
      </w:r>
      <w:r>
        <w:rPr>
          <w:rtl w:val="true"/>
        </w:rPr>
        <w:t xml:space="preserve"> (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 העונשין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 xml:space="preserve">בכך שביום </w:t>
      </w:r>
      <w:r>
        <w:rPr/>
        <w:t>13.1.2008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14:00</w:t>
      </w:r>
      <w:r>
        <w:rPr>
          <w:rtl w:val="true"/>
        </w:rPr>
        <w:t xml:space="preserve"> </w:t>
      </w:r>
      <w:r>
        <w:rPr>
          <w:rtl w:val="true"/>
        </w:rPr>
        <w:t>ביישוב ג</w:t>
      </w:r>
      <w:r>
        <w:rPr>
          <w:rtl w:val="true"/>
        </w:rPr>
        <w:t>'</w:t>
      </w:r>
      <w:r>
        <w:rPr>
          <w:rtl w:val="true"/>
        </w:rPr>
        <w:t>ת בביתו של הנאשם נערך חיפוש ע</w:t>
      </w:r>
      <w:r>
        <w:rPr>
          <w:rtl w:val="true"/>
        </w:rPr>
        <w:t>"</w:t>
      </w:r>
      <w:r>
        <w:rPr>
          <w:rtl w:val="true"/>
        </w:rPr>
        <w:t>י אנשי המשטרה ובחיפוש נמצא הנאשם כמי שמחזיק נשק מסוג אקדח חצי אוטומטי</w:t>
      </w:r>
      <w:r>
        <w:rPr>
          <w:rtl w:val="true"/>
        </w:rPr>
        <w:t xml:space="preserve">,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 xml:space="preserve">קליבר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פארבלום מס</w:t>
      </w:r>
      <w:r>
        <w:rPr>
          <w:rtl w:val="true"/>
        </w:rPr>
        <w:t xml:space="preserve">' </w:t>
      </w:r>
      <w:r>
        <w:rPr>
          <w:rtl w:val="true"/>
        </w:rPr>
        <w:t xml:space="preserve">סידורי </w:t>
      </w:r>
      <w:r>
        <w:rPr/>
        <w:t>67607</w:t>
      </w:r>
      <w:r>
        <w:rPr>
          <w:rtl w:val="true"/>
        </w:rPr>
        <w:t xml:space="preserve">, </w:t>
      </w:r>
      <w:r>
        <w:rPr>
          <w:rtl w:val="true"/>
        </w:rPr>
        <w:t xml:space="preserve">כמו כן נמצאה מחסנית ביחד עם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כדורים שהוחזקו ע</w:t>
      </w:r>
      <w:r>
        <w:rPr>
          <w:rtl w:val="true"/>
        </w:rPr>
        <w:t>"</w:t>
      </w:r>
      <w:r>
        <w:rPr>
          <w:rtl w:val="true"/>
        </w:rPr>
        <w:t>י הנאשם בביתו ללא רשות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בטיעוניו לעונש ביקש להטיל על הנאשם עונש מאסר בפועל מרתיע שישקף את חומרת העבירה בה הורשע ואת הסלידה שיש להביע מהחזקת נשק שלא כדין</w:t>
      </w:r>
      <w:r>
        <w:rPr>
          <w:rtl w:val="true"/>
        </w:rPr>
        <w:t xml:space="preserve">, </w:t>
      </w:r>
      <w:r>
        <w:rPr>
          <w:rtl w:val="true"/>
        </w:rPr>
        <w:t>עונש של מאסר על תנאי מרתיע</w:t>
      </w:r>
      <w:r>
        <w:rPr>
          <w:rtl w:val="true"/>
        </w:rPr>
        <w:t xml:space="preserve">, </w:t>
      </w:r>
      <w:r>
        <w:rPr>
          <w:rtl w:val="true"/>
        </w:rPr>
        <w:t xml:space="preserve">קנס כספי מרתיע וכן ביקש לחלט את המוצגים </w:t>
      </w:r>
      <w:r>
        <w:rPr>
          <w:rtl w:val="true"/>
        </w:rPr>
        <w:t>–</w:t>
      </w:r>
      <w:r>
        <w:rPr>
          <w:rtl w:val="true"/>
        </w:rPr>
        <w:t xml:space="preserve"> האקדח והתחמושת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בטיעוניו של ב</w:t>
      </w:r>
      <w:r>
        <w:rPr>
          <w:rtl w:val="true"/>
        </w:rPr>
        <w:t>"</w:t>
      </w:r>
      <w:r>
        <w:rPr>
          <w:rtl w:val="true"/>
        </w:rPr>
        <w:t>כ המאשימה לעונש</w:t>
      </w:r>
      <w:r>
        <w:rPr>
          <w:rtl w:val="true"/>
        </w:rPr>
        <w:t xml:space="preserve">, </w:t>
      </w:r>
      <w:r>
        <w:rPr>
          <w:rtl w:val="true"/>
        </w:rPr>
        <w:t>ביקש להדגיש את החומרה הרבה הנובעת מהחזקת נשק שלא כדין ואת השלכותיה החברתיות והביטחוניות של קיומו של הנשק בידי מי שאינו מורשה להחזיק אותו</w:t>
      </w:r>
      <w:r>
        <w:rPr>
          <w:rtl w:val="true"/>
        </w:rPr>
        <w:t xml:space="preserve">, </w:t>
      </w:r>
      <w:r>
        <w:rPr>
          <w:rtl w:val="true"/>
        </w:rPr>
        <w:t>ובהסתמך על פסיקה שציטט בפניי</w:t>
      </w:r>
      <w:r>
        <w:rPr>
          <w:rtl w:val="true"/>
        </w:rPr>
        <w:t xml:space="preserve">, </w:t>
      </w:r>
      <w:r>
        <w:rPr>
          <w:rtl w:val="true"/>
        </w:rPr>
        <w:t>ביקש כי העונש אשר יוטל יהיה עונש של מאסר בפועל שלא ירוצה בעבודות 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הרחיב ב</w:t>
      </w:r>
      <w:r>
        <w:rPr>
          <w:rtl w:val="true"/>
        </w:rPr>
        <w:t>"</w:t>
      </w:r>
      <w:r>
        <w:rPr>
          <w:rtl w:val="true"/>
        </w:rPr>
        <w:t>כ הנאשם על הענישה האינדיבידואלית של נאשמים בבית משפט</w:t>
      </w:r>
      <w:r>
        <w:rPr>
          <w:rtl w:val="true"/>
        </w:rPr>
        <w:t xml:space="preserve">, </w:t>
      </w:r>
      <w:r>
        <w:rPr>
          <w:rtl w:val="true"/>
        </w:rPr>
        <w:t>תוך הסתמכות על ההלכה הפסוקה ב</w:t>
      </w:r>
      <w:hyperlink r:id="rId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3300/06</w:t>
        </w:r>
      </w:hyperlink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הלכה ידועה כהלכת אבו סננה שקבעה מדרג של ענישה בהתחשב במספר פרמטרים כשאחד הוא</w:t>
      </w:r>
      <w:r>
        <w:rPr>
          <w:rtl w:val="true"/>
        </w:rPr>
        <w:t xml:space="preserve">, </w:t>
      </w:r>
      <w:r>
        <w:rPr>
          <w:rtl w:val="true"/>
        </w:rPr>
        <w:t>סוג הנשק</w:t>
      </w:r>
      <w:r>
        <w:rPr>
          <w:rtl w:val="true"/>
        </w:rPr>
        <w:t xml:space="preserve">, </w:t>
      </w:r>
      <w:r>
        <w:rPr>
          <w:rtl w:val="true"/>
        </w:rPr>
        <w:t>מידת קטלניותו</w:t>
      </w:r>
      <w:r>
        <w:rPr>
          <w:rtl w:val="true"/>
        </w:rPr>
        <w:t xml:space="preserve">, </w:t>
      </w:r>
      <w:r>
        <w:rPr>
          <w:rtl w:val="true"/>
        </w:rPr>
        <w:t>כמות הנשק</w:t>
      </w:r>
      <w:r>
        <w:rPr>
          <w:rtl w:val="true"/>
        </w:rPr>
        <w:t xml:space="preserve">, </w:t>
      </w:r>
      <w:r>
        <w:rPr>
          <w:rtl w:val="true"/>
        </w:rPr>
        <w:t>תכלית האחזקה של הנשק והסיכון הפוטנציאלי לשימוש בנשק</w:t>
      </w:r>
      <w:r>
        <w:rPr>
          <w:rtl w:val="true"/>
        </w:rPr>
        <w:t xml:space="preserve">,  </w:t>
      </w:r>
      <w:r>
        <w:rPr>
          <w:rtl w:val="true"/>
        </w:rPr>
        <w:t>כמו שמקובל בהלכה פסוקה בדרך כלל</w:t>
      </w:r>
      <w:r>
        <w:rPr>
          <w:rtl w:val="true"/>
        </w:rPr>
        <w:t xml:space="preserve">, </w:t>
      </w:r>
      <w:r>
        <w:rPr>
          <w:rtl w:val="true"/>
        </w:rPr>
        <w:t>יש לייחס חשיבות לנסיבותיו האישיות של הנאשם שהורשע בהחזקת 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בהתחשב בנסיבותיו האישיות של הנאשם כפי שפורטו בהרחבה בטיעוני בא כוחו ובנסיבות אחזקת הנשק</w:t>
      </w:r>
      <w:r>
        <w:rPr>
          <w:rtl w:val="true"/>
        </w:rPr>
        <w:t xml:space="preserve">, </w:t>
      </w:r>
      <w:r>
        <w:rPr>
          <w:rtl w:val="true"/>
        </w:rPr>
        <w:t>מבקש הוא שבימ</w:t>
      </w:r>
      <w:r>
        <w:rPr>
          <w:rtl w:val="true"/>
        </w:rPr>
        <w:t>"</w:t>
      </w:r>
      <w:r>
        <w:rPr>
          <w:rtl w:val="true"/>
        </w:rPr>
        <w:t>ש לא ימצה את הדין עם הנאשם ובמידה ויטיל עליו מאסר בפועל</w:t>
      </w:r>
      <w:r>
        <w:rPr>
          <w:rtl w:val="true"/>
        </w:rPr>
        <w:t xml:space="preserve">, </w:t>
      </w:r>
      <w:r>
        <w:rPr>
          <w:rtl w:val="true"/>
        </w:rPr>
        <w:t>מבקש הוא להורות על ריצוי המאסר בפועל</w:t>
      </w:r>
      <w:r>
        <w:rPr>
          <w:rtl w:val="true"/>
        </w:rPr>
        <w:t xml:space="preserve">, </w:t>
      </w:r>
      <w:r>
        <w:rPr>
          <w:rtl w:val="true"/>
        </w:rPr>
        <w:t>בעבודות שירות לתקופה מידתית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בפניי הצטער על המעשה תוך התחייבות שלא יסתבך במעשים פלילים ובראיות לעונש</w:t>
      </w:r>
      <w:r>
        <w:rPr>
          <w:rtl w:val="true"/>
        </w:rPr>
        <w:t xml:space="preserve">, </w:t>
      </w:r>
      <w:r>
        <w:rPr>
          <w:rtl w:val="true"/>
        </w:rPr>
        <w:t>העיד רס</w:t>
      </w:r>
      <w:r>
        <w:rPr>
          <w:rtl w:val="true"/>
        </w:rPr>
        <w:t>"</w:t>
      </w:r>
      <w:r>
        <w:rPr>
          <w:rtl w:val="true"/>
        </w:rPr>
        <w:t xml:space="preserve">ב שלמה  ארביב הממונה על המודיעין באזור ואדי ערה מזה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אשר הדגיש על חוסר בעייתיותו של הנאשם</w:t>
      </w:r>
      <w:r>
        <w:rPr>
          <w:rtl w:val="true"/>
        </w:rPr>
        <w:t xml:space="preserve">, </w:t>
      </w:r>
      <w:r>
        <w:rPr>
          <w:rtl w:val="true"/>
        </w:rPr>
        <w:t>נהפוך הוא</w:t>
      </w:r>
      <w:r>
        <w:rPr>
          <w:rtl w:val="true"/>
        </w:rPr>
        <w:t xml:space="preserve">, </w:t>
      </w:r>
      <w:r>
        <w:rPr>
          <w:rtl w:val="true"/>
        </w:rPr>
        <w:t>הנאשם תרם רבות בהשכנת סדר ושלום בין מעורבים וסכסוכים מקומיים</w:t>
      </w:r>
      <w:r>
        <w:rPr>
          <w:rtl w:val="true"/>
        </w:rPr>
        <w:t xml:space="preserve">, </w:t>
      </w:r>
      <w:r>
        <w:rPr>
          <w:rtl w:val="true"/>
        </w:rPr>
        <w:t xml:space="preserve">כך שרכז המודיעין הגדיר אותו </w:t>
      </w:r>
      <w:r>
        <w:rPr>
          <w:rtl w:val="true"/>
        </w:rPr>
        <w:t>–</w:t>
      </w:r>
      <w:r>
        <w:rPr>
          <w:rtl w:val="true"/>
        </w:rPr>
        <w:t xml:space="preserve"> את הנאשם</w:t>
      </w:r>
      <w:r>
        <w:rPr>
          <w:rtl w:val="true"/>
        </w:rPr>
        <w:t xml:space="preserve">, </w:t>
      </w:r>
      <w:r>
        <w:rPr>
          <w:rtl w:val="true"/>
        </w:rPr>
        <w:t>כגורם חיובי אשר סייע בידי הגורמים המוסמכים בהשכנת שלום ביישוב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בהתחשב בנסיבות העבירה</w:t>
      </w:r>
      <w:r>
        <w:rPr>
          <w:rtl w:val="true"/>
        </w:rPr>
        <w:t xml:space="preserve">, </w:t>
      </w:r>
      <w:r>
        <w:rPr>
          <w:rtl w:val="true"/>
        </w:rPr>
        <w:t>חומרת העבירה והשלכותיה</w:t>
      </w:r>
      <w:r>
        <w:rPr>
          <w:rtl w:val="true"/>
        </w:rPr>
        <w:t xml:space="preserve">, </w:t>
      </w:r>
      <w:r>
        <w:rPr>
          <w:rtl w:val="true"/>
        </w:rPr>
        <w:t>טיעוני ב</w:t>
      </w:r>
      <w:r>
        <w:rPr>
          <w:rtl w:val="true"/>
        </w:rPr>
        <w:t>"</w:t>
      </w:r>
      <w:r>
        <w:rPr>
          <w:rtl w:val="true"/>
        </w:rPr>
        <w:t>כ המאשימה מחד</w:t>
      </w:r>
      <w:r>
        <w:rPr>
          <w:rtl w:val="true"/>
        </w:rPr>
        <w:t xml:space="preserve">, </w:t>
      </w:r>
      <w:r>
        <w:rPr>
          <w:rtl w:val="true"/>
        </w:rPr>
        <w:t>נסיבות האישיות של הנאשם</w:t>
      </w:r>
      <w:r>
        <w:rPr>
          <w:rtl w:val="true"/>
        </w:rPr>
        <w:t xml:space="preserve">, </w:t>
      </w:r>
      <w:r>
        <w:rPr>
          <w:rtl w:val="true"/>
        </w:rPr>
        <w:t>טיעוני ב</w:t>
      </w:r>
      <w:r>
        <w:rPr>
          <w:rtl w:val="true"/>
        </w:rPr>
        <w:t>"</w:t>
      </w:r>
      <w:r>
        <w:rPr>
          <w:rtl w:val="true"/>
        </w:rPr>
        <w:t>כ הנאשם ולקולא את הודאתו של הנאשם בעבירה המיוחסת לו בהזדמנות הראשונה</w:t>
      </w:r>
      <w:r>
        <w:rPr>
          <w:rtl w:val="true"/>
        </w:rPr>
        <w:t xml:space="preserve">, </w:t>
      </w:r>
      <w:r>
        <w:rPr>
          <w:rtl w:val="true"/>
        </w:rPr>
        <w:t>הודאה החוסכת זמן שיפוטי יקר מבימ</w:t>
      </w:r>
      <w:r>
        <w:rPr>
          <w:rtl w:val="true"/>
        </w:rPr>
        <w:t>"</w:t>
      </w:r>
      <w:r>
        <w:rPr>
          <w:rtl w:val="true"/>
        </w:rPr>
        <w:t>ש והצדדים</w:t>
      </w:r>
      <w:r>
        <w:rPr>
          <w:rtl w:val="true"/>
        </w:rPr>
        <w:t xml:space="preserve">, </w:t>
      </w:r>
      <w:r>
        <w:rPr>
          <w:rtl w:val="true"/>
        </w:rPr>
        <w:t>הבעת החרטה של הנאשם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לתקופה של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אשר ירוצו בעבודות שירות ע</w:t>
      </w:r>
      <w:r>
        <w:rPr>
          <w:rtl w:val="true"/>
        </w:rPr>
        <w:t>"</w:t>
      </w:r>
      <w:r>
        <w:rPr>
          <w:rtl w:val="true"/>
        </w:rPr>
        <w:t>פ חוות דעתו של הממונה על עבודות השירות</w:t>
      </w:r>
      <w:r>
        <w:rPr>
          <w:rtl w:val="true"/>
        </w:rPr>
        <w:t xml:space="preserve">, </w:t>
      </w:r>
      <w:r>
        <w:rPr>
          <w:rtl w:val="true"/>
        </w:rPr>
        <w:t xml:space="preserve">חוות דעת שהוגשה בהסתמך על סעיף </w:t>
      </w:r>
      <w:r>
        <w:rPr/>
        <w:t>51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 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 xml:space="preserve">כך שהנאשם ירצה את המאסר בעבודות שירות במוסד </w:t>
      </w:r>
      <w:r>
        <w:rPr>
          <w:rtl w:val="true"/>
        </w:rPr>
        <w:t>"</w:t>
      </w:r>
      <w:r>
        <w:rPr>
          <w:rtl w:val="true"/>
        </w:rPr>
        <w:t>נווה מנשה</w:t>
      </w:r>
      <w:r>
        <w:rPr>
          <w:rtl w:val="true"/>
        </w:rPr>
        <w:t xml:space="preserve">" </w:t>
      </w:r>
      <w:r>
        <w:rPr>
          <w:rtl w:val="true"/>
        </w:rPr>
        <w:t xml:space="preserve">החל מיום </w:t>
      </w:r>
      <w:r>
        <w:rPr/>
        <w:t>27.7.11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במועד זה יתייצב הנאשם במפקדת מחוז צפון</w:t>
      </w:r>
      <w:r>
        <w:rPr>
          <w:rtl w:val="true"/>
        </w:rPr>
        <w:t xml:space="preserve">, </w:t>
      </w:r>
      <w:r>
        <w:rPr>
          <w:rtl w:val="true"/>
        </w:rPr>
        <w:t>יחידת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בכפר מגאר 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לריצוי המאסר</w:t>
      </w:r>
      <w:r>
        <w:rPr>
          <w:rtl w:val="true"/>
        </w:rPr>
        <w:t xml:space="preserve">, </w:t>
      </w:r>
      <w:r>
        <w:rPr>
          <w:rtl w:val="true"/>
        </w:rPr>
        <w:t>בעבודות 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מאסר על תנאי לתקופה של  </w:t>
      </w: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 xml:space="preserve">חודשים והתנאי הוא שהנאשם לא </w:t>
      </w:r>
      <w:r>
        <w:rPr>
          <w:rtl w:val="true"/>
        </w:rPr>
        <w:t xml:space="preserve">יישא בו אלא אם </w:t>
      </w:r>
      <w:r>
        <w:rPr>
          <w:rtl w:val="true"/>
        </w:rPr>
        <w:t xml:space="preserve">יעבור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עבירות על הסעיפים בהם הורשע בתיק זה ויורשע בה</w:t>
      </w:r>
      <w:r>
        <w:rPr>
          <w:rtl w:val="true"/>
        </w:rPr>
        <w:t>ן</w:t>
      </w:r>
      <w:r>
        <w:rPr>
          <w:rtl w:val="true"/>
        </w:rPr>
        <w:t xml:space="preserve"> בין בתקופת התנאי ובין לאחריו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תשלום קנס בשיעור  </w:t>
      </w:r>
      <w:r>
        <w:rPr/>
        <w:t>5,000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או  </w:t>
      </w:r>
      <w:r>
        <w:rPr>
          <w:rtl w:val="true"/>
        </w:rPr>
        <w:t xml:space="preserve">חודש </w:t>
      </w:r>
      <w:r>
        <w:rPr>
          <w:rtl w:val="true"/>
        </w:rPr>
        <w:t xml:space="preserve"> מאסר תחתיו</w:t>
      </w:r>
      <w:r>
        <w:rPr>
          <w:rtl w:val="true"/>
        </w:rPr>
        <w:t>.</w:t>
      </w:r>
    </w:p>
    <w:p>
      <w:pPr>
        <w:pStyle w:val="Style13"/>
        <w:spacing w:lineRule="auto" w:line="360"/>
        <w:ind w:start="720" w:end="0"/>
        <w:jc w:val="start"/>
        <w:rPr>
          <w:b/>
          <w:bCs w:val="false"/>
        </w:rPr>
      </w:pPr>
      <w:r>
        <w:rPr>
          <w:b/>
          <w:b/>
          <w:bCs w:val="false"/>
          <w:rtl w:val="true"/>
        </w:rPr>
        <w:t>הקנס ישולם ב</w:t>
      </w:r>
      <w:r>
        <w:rPr>
          <w:b/>
          <w:bCs w:val="false"/>
          <w:rtl w:val="true"/>
        </w:rPr>
        <w:t>-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</w:rPr>
        <w:t>10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תשלומים חודשיים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שוויים</w:t>
      </w:r>
      <w:r>
        <w:rPr>
          <w:b/>
          <w:b/>
          <w:bCs w:val="false"/>
          <w:rtl w:val="true"/>
        </w:rPr>
        <w:t xml:space="preserve"> ורצופים של </w:t>
      </w:r>
      <w:r>
        <w:rPr>
          <w:b/>
          <w:bCs w:val="false"/>
        </w:rPr>
        <w:t>500</w:t>
      </w:r>
      <w:r>
        <w:rPr>
          <w:b/>
          <w:bCs w:val="false"/>
          <w:rtl w:val="true"/>
        </w:rPr>
        <w:t xml:space="preserve"> ₪ </w:t>
      </w:r>
      <w:r>
        <w:rPr>
          <w:b/>
          <w:b/>
          <w:bCs w:val="false"/>
          <w:rtl w:val="true"/>
        </w:rPr>
        <w:t>כל אחד</w:t>
      </w:r>
      <w:r>
        <w:rPr>
          <w:b/>
          <w:bCs w:val="false"/>
          <w:rtl w:val="true"/>
        </w:rPr>
        <w:t xml:space="preserve">, </w:t>
      </w:r>
      <w:r>
        <w:rPr>
          <w:b/>
          <w:b/>
          <w:bCs w:val="false"/>
          <w:rtl w:val="true"/>
        </w:rPr>
        <w:t>החל מיום</w:t>
      </w:r>
      <w:r>
        <w:rPr>
          <w:b/>
          <w:b/>
          <w:bCs w:val="false"/>
          <w:rtl w:val="true"/>
        </w:rPr>
        <w:t xml:space="preserve"> </w:t>
      </w:r>
      <w:r>
        <w:rPr>
          <w:b/>
          <w:bCs w:val="false"/>
        </w:rPr>
        <w:t>20.7.11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 xml:space="preserve">ובכל </w:t>
      </w:r>
      <w:r>
        <w:rPr>
          <w:b/>
          <w:bCs w:val="false"/>
        </w:rPr>
        <w:t>20</w:t>
      </w:r>
      <w:r>
        <w:rPr>
          <w:b/>
          <w:bCs w:val="false"/>
          <w:rtl w:val="true"/>
        </w:rPr>
        <w:t xml:space="preserve"> </w:t>
      </w:r>
      <w:r>
        <w:rPr>
          <w:b/>
          <w:bCs w:val="false"/>
          <w:rtl w:val="true"/>
        </w:rPr>
        <w:t xml:space="preserve"> </w:t>
      </w:r>
      <w:r>
        <w:rPr>
          <w:b/>
          <w:b/>
          <w:bCs w:val="false"/>
          <w:rtl w:val="true"/>
        </w:rPr>
        <w:t>לחודש שלאחריו</w:t>
      </w:r>
      <w:r>
        <w:rPr>
          <w:b/>
          <w:bCs w:val="false"/>
          <w:rtl w:val="true"/>
        </w:rPr>
        <w:t xml:space="preserve">. </w:t>
      </w:r>
    </w:p>
    <w:p>
      <w:pPr>
        <w:pStyle w:val="Style13"/>
        <w:spacing w:lineRule="auto" w:line="360"/>
        <w:ind w:firstLine="720" w:end="0"/>
        <w:jc w:val="start"/>
        <w:rPr>
          <w:b/>
          <w:u w:val="single"/>
        </w:rPr>
      </w:pPr>
      <w:r>
        <w:rPr>
          <w:b/>
          <w:u w:val="single"/>
          <w:rtl w:val="true"/>
        </w:rPr>
        <w:t>(</w:t>
      </w:r>
      <w:r>
        <w:rPr>
          <w:b/>
          <w:b/>
          <w:u w:val="single"/>
          <w:rtl w:val="true"/>
        </w:rPr>
        <w:t>אי עמידה באחד מן התשלומים תעמיד לפ</w:t>
      </w:r>
      <w:r>
        <w:rPr>
          <w:b/>
          <w:b/>
          <w:u w:val="single"/>
          <w:rtl w:val="true"/>
        </w:rPr>
        <w:t>י</w:t>
      </w:r>
      <w:r>
        <w:rPr>
          <w:b/>
          <w:b/>
          <w:u w:val="single"/>
          <w:rtl w:val="true"/>
        </w:rPr>
        <w:t xml:space="preserve">רעון מיידי את </w:t>
      </w:r>
      <w:r>
        <w:rPr>
          <w:b/>
          <w:b/>
          <w:u w:val="single"/>
          <w:rtl w:val="true"/>
        </w:rPr>
        <w:t>כל</w:t>
      </w:r>
      <w:r>
        <w:rPr>
          <w:b/>
          <w:b/>
          <w:u w:val="single"/>
          <w:rtl w:val="true"/>
        </w:rPr>
        <w:t xml:space="preserve"> יתרת הקנס</w:t>
      </w:r>
      <w:r>
        <w:rPr>
          <w:b/>
          <w:u w:val="single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b/>
          <w:u w:val="single"/>
        </w:rPr>
      </w:pPr>
      <w:r>
        <w:rPr>
          <w:b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 xml:space="preserve">אני מחייב את הנאשם לחתום על התחייבות כספית בסך  </w:t>
      </w:r>
      <w:r>
        <w:rPr/>
        <w:t>10,000</w:t>
      </w:r>
      <w:r>
        <w:rPr>
          <w:rtl w:val="true"/>
        </w:rPr>
        <w:t xml:space="preserve"> 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מלעבור עבירה על סעיפים בהם הורשע</w:t>
      </w:r>
      <w:r>
        <w:rPr>
          <w:rtl w:val="true"/>
        </w:rPr>
        <w:t xml:space="preserve">. </w:t>
      </w:r>
      <w:r>
        <w:rPr>
          <w:rtl w:val="true"/>
        </w:rPr>
        <w:t xml:space="preserve">באם יסרב לחתום על ההתחייבות </w:t>
      </w:r>
      <w:r>
        <w:rPr>
          <w:rtl w:val="true"/>
        </w:rPr>
        <w:t xml:space="preserve">- </w:t>
      </w:r>
      <w:r>
        <w:rPr>
          <w:rtl w:val="true"/>
        </w:rPr>
        <w:t xml:space="preserve">ייאסר ל 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 או עד שיחתום לפי המוקדם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ניתן בזה צו </w:t>
      </w:r>
      <w:r>
        <w:rPr>
          <w:rtl w:val="true"/>
        </w:rPr>
        <w:t xml:space="preserve">לחילוט המוצגים </w:t>
      </w:r>
      <w:r>
        <w:rPr>
          <w:rtl w:val="true"/>
        </w:rPr>
        <w:t>–</w:t>
      </w:r>
      <w:r>
        <w:rPr>
          <w:rtl w:val="true"/>
        </w:rPr>
        <w:t xml:space="preserve"> אקדח ותחמושת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 xml:space="preserve">הודעה והוסברה זכות הערעור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 לבית המשפט המחוזי בחיפה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הבקשה לעיכוב ביצוע גזר הדין נדחית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המועד הקרוב ביותר לביצוע המאסר בעבודות שירות כפי שנקבע ע</w:t>
      </w:r>
      <w:r>
        <w:rPr>
          <w:rtl w:val="true"/>
        </w:rPr>
        <w:t>"</w:t>
      </w:r>
      <w:r>
        <w:rPr>
          <w:rtl w:val="true"/>
        </w:rPr>
        <w:t>י הממונה ואומץ ע</w:t>
      </w:r>
      <w:r>
        <w:rPr>
          <w:rtl w:val="true"/>
        </w:rPr>
        <w:t>"</w:t>
      </w:r>
      <w:r>
        <w:rPr>
          <w:rtl w:val="true"/>
        </w:rPr>
        <w:t>י בימ</w:t>
      </w:r>
      <w:r>
        <w:rPr>
          <w:rtl w:val="true"/>
        </w:rPr>
        <w:t>"</w:t>
      </w:r>
      <w:r>
        <w:rPr>
          <w:rtl w:val="true"/>
        </w:rPr>
        <w:t xml:space="preserve">ש הוא יום </w:t>
      </w:r>
      <w:r>
        <w:rPr/>
        <w:t>27.7.11</w:t>
      </w:r>
      <w:r>
        <w:rPr>
          <w:rtl w:val="true"/>
        </w:rPr>
        <w:t xml:space="preserve"> </w:t>
      </w:r>
      <w:r>
        <w:rPr>
          <w:rtl w:val="true"/>
        </w:rPr>
        <w:t>וככל שבכוונת המאשימה להגיש ערעור</w:t>
      </w:r>
      <w:r>
        <w:rPr>
          <w:rtl w:val="true"/>
        </w:rPr>
        <w:t xml:space="preserve">, </w:t>
      </w:r>
      <w:r>
        <w:rPr>
          <w:rtl w:val="true"/>
        </w:rPr>
        <w:t>חזקה עליה שתעשה זאת סמוך למועד זה</w:t>
      </w:r>
      <w:r>
        <w:rPr>
          <w:rtl w:val="true"/>
        </w:rPr>
        <w:t xml:space="preserve">, </w:t>
      </w:r>
      <w:r>
        <w:rPr>
          <w:rtl w:val="true"/>
        </w:rPr>
        <w:t>ובימ</w:t>
      </w:r>
      <w:r>
        <w:rPr>
          <w:rtl w:val="true"/>
        </w:rPr>
        <w:t>"</w:t>
      </w:r>
      <w:r>
        <w:rPr>
          <w:rtl w:val="true"/>
        </w:rPr>
        <w:t>ש שבפניו יוגש הערעור</w:t>
      </w:r>
      <w:r>
        <w:rPr>
          <w:rtl w:val="true"/>
        </w:rPr>
        <w:t xml:space="preserve">, </w:t>
      </w:r>
      <w:r>
        <w:rPr>
          <w:rtl w:val="true"/>
        </w:rPr>
        <w:t>יתן דעתו על 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20/06/2011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מוחמד מסארווה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מסארווה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תמי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גיבלי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חד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14492-11-09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עאדל ותד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rFonts w:ascii="Times New Roman" w:hAnsi="Times New Roman" w:eastAsia="Times New Roman" w:cs="Times New Roman"/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3">
    <w:name w:val="החלטה"/>
    <w:basedOn w:val="Normal"/>
    <w:qFormat/>
    <w:pPr>
      <w:suppressLineNumbers/>
    </w:pPr>
    <w:rPr>
      <w:rFonts w:ascii="Times New Roman" w:hAnsi="Times New Roman" w:eastAsia="Times New Roman" w:cs="Times New Roman"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06;&#1508;%203300/06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2011-06-21T12:25:00Z</dcterms:created>
  <dc:creator> </dc:creator>
  <dc:description/>
  <cp:keywords/>
  <dc:language>en-IL</dc:language>
  <cp:lastModifiedBy>hofit</cp:lastModifiedBy>
  <dcterms:modified xsi:type="dcterms:W3CDTF">2011-06-21T12:25:00Z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עאדל ותד</vt:lpwstr>
  </property>
  <property fmtid="{D5CDD505-2E9C-101B-9397-08002B2CF9AE}" pid="4" name="CITY">
    <vt:lpwstr>חד'</vt:lpwstr>
  </property>
  <property fmtid="{D5CDD505-2E9C-101B-9397-08002B2CF9AE}" pid="5" name="DATE">
    <vt:lpwstr>20110620</vt:lpwstr>
  </property>
  <property fmtid="{D5CDD505-2E9C-101B-9397-08002B2CF9AE}" pid="6" name="ISABSTRACT">
    <vt:lpwstr>Y</vt:lpwstr>
  </property>
  <property fmtid="{D5CDD505-2E9C-101B-9397-08002B2CF9AE}" pid="7" name="JUDGE">
    <vt:lpwstr>מוחמד מסארווה</vt:lpwstr>
  </property>
  <property fmtid="{D5CDD505-2E9C-101B-9397-08002B2CF9AE}" pid="8" name="LAWYER">
    <vt:lpwstr>ליאור בנימין;סאהר מוחסן</vt:lpwstr>
  </property>
  <property fmtid="{D5CDD505-2E9C-101B-9397-08002B2CF9AE}" pid="9" name="NEWPARTA">
    <vt:lpwstr>14492</vt:lpwstr>
  </property>
  <property fmtid="{D5CDD505-2E9C-101B-9397-08002B2CF9AE}" pid="10" name="NEWPARTB">
    <vt:lpwstr>11</vt:lpwstr>
  </property>
  <property fmtid="{D5CDD505-2E9C-101B-9397-08002B2CF9AE}" pid="11" name="NEWPARTC">
    <vt:lpwstr>09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3</vt:lpwstr>
  </property>
  <property fmtid="{D5CDD505-2E9C-101B-9397-08002B2CF9AE}" pid="15" name="TYPE_ABS_DATE">
    <vt:lpwstr>380020110620</vt:lpwstr>
  </property>
  <property fmtid="{D5CDD505-2E9C-101B-9397-08002B2CF9AE}" pid="16" name="TYPE_N_DATE">
    <vt:lpwstr>38020110620</vt:lpwstr>
  </property>
  <property fmtid="{D5CDD505-2E9C-101B-9397-08002B2CF9AE}" pid="17" name="WORDNUMPAGES">
    <vt:lpwstr>3</vt:lpwstr>
  </property>
</Properties>
</file>