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14593-04-20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עאסי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12"/>
                <w:szCs w:val="12"/>
              </w:rPr>
            </w:pPr>
            <w:r>
              <w:rPr>
                <w:rFonts w:cs="FrankRuehl"/>
                <w:b/>
                <w:bCs/>
                <w:sz w:val="12"/>
                <w:szCs w:val="12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  <w:vertAlign w:val="subscript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  <w:vertAlign w:val="subscript"/>
        </w:rPr>
      </w:pPr>
      <w:r>
        <w:rPr>
          <w:rFonts w:cs="David" w:ascii="David" w:hAnsi="David"/>
          <w:sz w:val="26"/>
          <w:szCs w:val="26"/>
          <w:vertAlign w:val="subscript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31"/>
        <w:gridCol w:w="3540"/>
      </w:tblGrid>
      <w:tr>
        <w:trPr>
          <w:trHeight w:val="4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424" w:leader="none"/>
              </w:tabs>
              <w:ind w:end="0"/>
              <w:jc w:val="start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cs="David" w:ascii="David" w:hAnsi="David"/>
                <w:sz w:val="20"/>
                <w:szCs w:val="20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חנה מרים לומפ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35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אריאלה נבון</w:t>
            </w:r>
          </w:p>
        </w:tc>
        <w:tc>
          <w:tcPr>
            <w:tcW w:w="3540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12"/>
                <w:szCs w:val="12"/>
              </w:rPr>
            </w:pPr>
            <w:r>
              <w:rPr>
                <w:rFonts w:cs="David" w:ascii="David" w:hAnsi="David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נסראללה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מוניר עאסי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בהאא אלדין אבו תאיה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ריאד סוואעד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12"/>
          <w:szCs w:val="12"/>
        </w:rPr>
      </w:pPr>
      <w:r>
        <w:rPr>
          <w:rFonts w:cs="Arial" w:ascii="Arial" w:hAnsi="Arial"/>
          <w:color w:val="0000FF"/>
          <w:sz w:val="12"/>
          <w:szCs w:val="12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  <w:bookmarkStart w:id="9" w:name="PsakDin"/>
            <w:bookmarkStart w:id="10" w:name="PsakDin"/>
            <w:bookmarkEnd w:id="10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  <w:bookmarkStart w:id="12" w:name="ABSTRACT_END"/>
      <w:bookmarkEnd w:id="12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ובהסכמה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זגייר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עומר</w:t>
      </w:r>
      <w:r>
        <w:rPr>
          <w:rtl w:val="true"/>
        </w:rPr>
        <w:t xml:space="preserve">"),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25.3.20</w:t>
      </w:r>
      <w:r>
        <w:rPr>
          <w:rtl w:val="true"/>
        </w:rPr>
        <w:t xml:space="preserve">, </w:t>
      </w:r>
      <w:r>
        <w:rPr>
          <w:rtl w:val="true"/>
        </w:rPr>
        <w:t>ניפגשו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>/</w:t>
      </w:r>
      <w:r>
        <w:rPr>
          <w:b/>
          <w:b/>
          <w:bCs/>
          <w:rtl w:val="true"/>
        </w:rPr>
        <w:t>ההר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המחשב</w:t>
      </w:r>
      <w:r>
        <w:rPr>
          <w:rtl w:val="true"/>
        </w:rPr>
        <w:t xml:space="preserve">")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27.3.20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להצטלם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ובעומר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בהר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הסרטון</w:t>
      </w:r>
      <w:r>
        <w:rPr>
          <w:rtl w:val="true"/>
        </w:rPr>
        <w:t xml:space="preserve">").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באוזר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425"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u w:val="single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u w:val="single"/>
        </w:rPr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u w:val="single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פגיע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ורגיש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חבירתו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בשייכות</w:t>
      </w:r>
      <w:r>
        <w:rPr>
          <w:rtl w:val="true"/>
        </w:rPr>
        <w:t xml:space="preserve">, </w:t>
      </w:r>
      <w:r>
        <w:rPr>
          <w:rtl w:val="true"/>
        </w:rPr>
        <w:t>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u w:val="single"/>
        </w:rPr>
      </w:pP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  <w:u w:val="single"/>
        </w:rPr>
      </w:pPr>
      <w:r>
        <w:rPr>
          <w:sz w:val="12"/>
          <w:szCs w:val="12"/>
          <w:u w:val="single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מדיווח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שפה</w:t>
      </w:r>
      <w:r>
        <w:rPr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Style14"/>
        <w:tabs>
          <w:tab w:val="clear" w:pos="720"/>
          <w:tab w:val="left" w:pos="1409" w:leader="none"/>
        </w:tabs>
        <w:spacing w:lineRule="auto" w:line="360"/>
        <w:ind w:start="425" w:end="0"/>
        <w:jc w:val="both"/>
        <w:rPr>
          <w:sz w:val="12"/>
          <w:szCs w:val="12"/>
        </w:rPr>
      </w:pPr>
      <w:r>
        <w:rPr>
          <w:rtl w:val="true"/>
        </w:rPr>
        <w:tab/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אלקיים</w:t>
      </w:r>
      <w:r>
        <w:rPr>
          <w:rtl w:val="true"/>
        </w:rPr>
        <w:t xml:space="preserve">,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חרוץ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צרות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העיקרון המנחה בענישה הוא 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נשק הוא מטבעו כלי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אם מבצעי העבירות בחוליות השונות בשרשרת העברת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מודעים לתכלית השימוש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4"/>
        <w:spacing w:lineRule="auto" w:line="360"/>
        <w:ind w:start="42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עוד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הסכנה הרבה הטמונה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מוצדק להטיל עונשי מאסר בפועל גם על מי שזוהי עבורו הרשעתו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הנסיבות האישיות של העבריין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זילברטל חזר על כך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25.02.</w:t>
      </w:r>
      <w:r>
        <w:rPr/>
        <w:t>14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200"/>
        <w:ind w:start="927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20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המגמה להחמיר בענישה בעבירות נשק באה לידי ביטוי בשורה ארוכה של 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סק דין שניתנו על ידי בית 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רך חסן  נגד 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5.6.13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קבעה כבוד השופטת</w:t>
      </w:r>
      <w:r>
        <w:rPr>
          <w:rFonts w:ascii="David" w:hAnsi="David"/>
          <w:rtl w:val="true"/>
        </w:rPr>
        <w:t xml:space="preserve"> ע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20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567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4.12.11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קבעה כבוד השופטת</w:t>
      </w:r>
      <w:r>
        <w:rPr>
          <w:rFonts w:ascii="David" w:hAnsi="David"/>
          <w:rtl w:val="true"/>
        </w:rPr>
        <w:t xml:space="preserve"> 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חיות כך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200"/>
        <w:ind w:start="283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יפים לענייננו הדברים שנקבעו במסגרת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 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ד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מינץ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567" w:end="709"/>
        <w:contextualSpacing/>
        <w:jc w:val="both"/>
        <w:rPr>
          <w:rFonts w:ascii="Calibri" w:hAnsi="Calibri" w:cs="Arial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עניין 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בית המשפט לתת בכורה לשיקולי ההרתעה והאינטרס הציבורי </w:t>
      </w:r>
      <w:r>
        <w:rPr>
          <w:rFonts w:cs="David" w:ascii="David" w:hAnsi="David"/>
          <w:b/>
          <w:bCs/>
          <w:rtl w:val="true"/>
        </w:rPr>
        <w:t>(</w:t>
      </w:r>
      <w:hyperlink r:id="rId2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)."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cs="Arial" w:ascii="Calibri" w:hAnsi="Calibri"/>
          <w:b/>
          <w:bCs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היא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ותלויה בנסיבותיו 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>-</w:t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</w:t>
      </w:r>
      <w:r>
        <w:rPr>
          <w:rFonts w:ascii="David" w:hAnsi="David"/>
          <w:b/>
          <w:b/>
          <w:bCs/>
          <w:color w:val="000000"/>
          <w:rtl w:val="true"/>
        </w:rPr>
        <w:t>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סמיר בסל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08.03.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קיבל בית המשפט העליון את ערעורה של המדינה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והחמיר את עונשו של המשיב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ascii="David" w:hAnsi="David"/>
          <w:color w:val="000000"/>
          <w:shd w:fill="FFFFFF" w:val="clear"/>
          <w:rtl w:val="true"/>
        </w:rPr>
        <w:t xml:space="preserve">שעמד על </w:t>
      </w:r>
      <w:r>
        <w:rPr>
          <w:rFonts w:cs="David" w:ascii="David" w:hAnsi="David"/>
          <w:color w:val="000000"/>
          <w:shd w:fill="FFFFFF" w:val="clear"/>
        </w:rPr>
        <w:t>12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חודשים בפועל בגין הרשעתו בביצוע עבירה אחת של נשיאה והחזקת נשק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תת מקלע מאולתר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18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בדבריו עמד על חומרתן של עבירות הנשק והצורך בהרתעת היחיד והרבים מפני ביצוע עבירות מעין אלו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יצוין כי </w:t>
      </w:r>
      <w:r>
        <w:rPr>
          <w:rFonts w:ascii="David" w:hAnsi="David"/>
          <w:color w:val="000000"/>
          <w:shd w:fill="FFFFFF" w:val="clear"/>
          <w:rtl w:val="true"/>
        </w:rPr>
        <w:t>הנאשם</w:t>
      </w:r>
      <w:r>
        <w:rPr>
          <w:rFonts w:ascii="David" w:hAnsi="David"/>
          <w:color w:val="000000"/>
          <w:shd w:fill="FFFFFF" w:val="clear"/>
          <w:rtl w:val="true"/>
        </w:rPr>
        <w:t xml:space="preserve"> הורשע במסגרת הסדר טיעון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לחובתו עמדה הרשעה אחת וגילו היה צעיר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בן </w:t>
      </w:r>
      <w:r>
        <w:rPr>
          <w:rFonts w:cs="David" w:ascii="David" w:hAnsi="David"/>
          <w:color w:val="000000"/>
          <w:shd w:fill="FFFFFF" w:val="clear"/>
        </w:rPr>
        <w:t>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). </w:t>
      </w:r>
    </w:p>
    <w:p>
      <w:pPr>
        <w:pStyle w:val="Normal"/>
        <w:spacing w:lineRule="auto" w:line="360" w:before="0" w:after="200"/>
        <w:ind w:start="1440" w:end="0"/>
        <w:contextualSpacing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  <w:lang w:eastAsia="he-IL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הושת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ביצוע עבירות של החזקה ונשיאת נשק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hyperlink r:id="rId2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וגזר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דנן הנאשם היה 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צבר לחובתו הרשעה אחת בעבירת איומים ושבל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בתת מקלע ומחסנית והסתירם בשביל קרוב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שבוע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שבסופם העבירם 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קנה את הנשק והמחסנית מקרוב משפחתו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1440" w:end="0"/>
        <w:contextualSpacing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200"/>
        <w:ind w:hanging="36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נקבע מדרג חומרה לעבירות הנשק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עבירת הסחר מצויה ברף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נשיאת והובלת הנשק נמצאת ברף הבינוני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עבירת רכישת נשק ואביזר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נמצאת ברף התחתון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דובר בנשק מסוג קרל גוסטב עם 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הנאשם בדק את תקינות הנשק כאשר ירה כדור בודד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משפט חרג ממתחם העונש ההולם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שישה 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דובר בצעיר שהיה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והנסיבות שהובילו לביצוע העבירות היה פחד וחשש לחייו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במסגרת פסק דין זה חזר בית המשפט העליון 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כלל בעבירות מסוג זה לא ניתן להסתפק בעונש של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ראוי להטיל עונש של מאסר שירוצה בבית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הקשורות בביצוע 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rtl w:val="true"/>
          </w:rPr>
          <w:t>סעיף</w:t>
        </w:r>
      </w:hyperlink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לתת את הדעת לשיקולים הבאים</w:t>
      </w:r>
      <w:r>
        <w:rPr>
          <w:rFonts w:cs="David" w:ascii="David" w:hAnsi="David"/>
          <w:rtl w:val="true"/>
        </w:rPr>
        <w:t>:</w:t>
      </w:r>
      <w:r>
        <w:rPr>
          <w:rFonts w:cs="Arial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בתת מקלע שפוטנציאל המסוכנות הנלמדת ממנו גבוה מזה של נשק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בהחזקת נשק 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החזקה משותפת של הנאשמים לאורך מספר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אף הגיעו למקום בו הוסתר הנשק וניסו למוכרו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העסקה לא יצאה אל הפועל בשל חששו של הקונה מהמשטרה ולא בשל חרטתם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המטרה העומדת בבסיס פעולת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של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א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בנשק מאולתר ולא תיקני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לא יצא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שפוטנציאל הנזק לא מומש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המשטרה איתרה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קיבל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תמורה על מעשי</w:t>
      </w:r>
      <w:r>
        <w:rPr>
          <w:rFonts w:ascii="David" w:hAnsi="David"/>
          <w:rtl w:val="true"/>
        </w:rPr>
        <w:t>הם</w:t>
      </w:r>
      <w:r>
        <w:rPr>
          <w:rFonts w:cs="David" w:ascii="David" w:hAnsi="David"/>
          <w:rtl w:val="true"/>
        </w:rPr>
        <w:t>.</w:t>
      </w:r>
    </w:p>
    <w:p>
      <w:pPr>
        <w:pStyle w:val="Style14"/>
        <w:spacing w:lineRule="auto" w:line="360"/>
        <w:ind w:start="42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שבחנתי את הערך החברתי שנפגע כתוצאה מביצוע העבירה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 לכלל מסקנה כי מתחם העונש ההולם את העבירות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עונש של מאסר בפועל לתקופה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רכיבי ענישה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Style14"/>
        <w:numPr>
          <w:ilvl w:val="0"/>
          <w:numId w:val="3"/>
        </w:numPr>
        <w:spacing w:lineRule="auto" w:line="360"/>
        <w:ind w:hanging="425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 זה לא מצאתי לחרוג לחומרה ממתחם העונש ההולם מטעמי הגנה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בעבר</w:t>
      </w:r>
      <w:r>
        <w:rPr>
          <w:rFonts w:ascii="David" w:hAnsi="David"/>
          <w:rtl w:val="true"/>
        </w:rPr>
        <w:t>ם הנקי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לחרוג לקולה ממתחם העונש ההולם מטעמי שיקום וזאת נוכח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אופק שיקומי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טיפולי שהוצג לפניי במסגרת הליך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וגילם הצעיר וחוסר בשלות אין די בהם על מנת לקבוע מתחם עונש הולם נמוך יותר מזה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שעתר בא כוחם ואין בו גם להצדיק חריגה ממתחם העונש ההולם מטעמי צדק או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hd w:fill="FFFFFF" w:val="clear"/>
        <w:spacing w:lineRule="auto" w:line="360"/>
        <w:ind w:hanging="425"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>בגזירת העונש המתאים לנאש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זו מן הראוי לתת את הדעת לנסיבות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 בן למשפחה נורמטיבית המגנה את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וניהל אורח חיים נורמטיבי טרם מעצרו</w:t>
      </w:r>
      <w:r>
        <w:rPr>
          <w:rFonts w:ascii="David" w:hAnsi="David"/>
          <w:sz w:val="12"/>
          <w:sz w:val="12"/>
          <w:szCs w:val="12"/>
          <w:rtl w:val="true"/>
        </w:rPr>
        <w:t xml:space="preserve"> </w:t>
      </w:r>
      <w:r>
        <w:rPr>
          <w:rFonts w:cs="David" w:ascii="David" w:hAnsi="David"/>
          <w:sz w:val="12"/>
          <w:szCs w:val="12"/>
          <w:rtl w:val="true"/>
        </w:rPr>
        <w:t xml:space="preserve">. </w:t>
      </w:r>
      <w:r>
        <w:rPr>
          <w:rFonts w:cs="David" w:ascii="David" w:hAnsi="David"/>
          <w:sz w:val="12"/>
          <w:szCs w:val="12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שוהה במעצר מזה </w:t>
      </w:r>
      <w:r>
        <w:rPr>
          <w:rFonts w:ascii="David" w:hAnsi="David"/>
          <w:rtl w:val="true"/>
        </w:rPr>
        <w:t>ארבעה חודשים</w:t>
      </w:r>
      <w:r>
        <w:rPr>
          <w:rFonts w:ascii="David" w:hAnsi="David"/>
          <w:rtl w:val="true"/>
        </w:rPr>
        <w:t xml:space="preserve"> וידוע כי תנאי מעצר קשים מתנאי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תנאים אלה קשיים נוכח הגבלות החלות בשל מגפת הקורונה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 להסתגל לתנאי המעצר ושירות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המעצר וההליך הפלילי גרמו להרתעתו וכן התרשם מכך שהוא נעדר דפוסי חשיבה עבריינים מושרשים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אימו חולה במחלה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ובשל כך סייע לה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 הבית וכן סייע בפרנסת המשפחה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התחשבתי בכך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לפניי חרטה וצער על מעשיו ואת שאיפתו לנהל אורח חיים נורמטיבי עם שחרורו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Style14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hd w:fill="FFFFFF" w:val="clear"/>
        <w:spacing w:lineRule="auto" w:line="360"/>
        <w:ind w:hanging="425"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מאורס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 טרם מעצרו</w:t>
      </w:r>
      <w:r>
        <w:rPr>
          <w:rFonts w:ascii="David" w:hAnsi="David"/>
          <w:sz w:val="12"/>
          <w:sz w:val="12"/>
          <w:szCs w:val="12"/>
          <w:rtl w:val="true"/>
        </w:rPr>
        <w:t xml:space="preserve"> </w:t>
      </w:r>
      <w:r>
        <w:rPr>
          <w:rFonts w:cs="David" w:ascii="David" w:hAnsi="David"/>
          <w:sz w:val="12"/>
          <w:szCs w:val="12"/>
          <w:rtl w:val="true"/>
        </w:rPr>
        <w:t xml:space="preserve">. </w:t>
      </w:r>
      <w:r>
        <w:rPr>
          <w:rFonts w:cs="David" w:ascii="David" w:hAnsi="David"/>
          <w:sz w:val="12"/>
          <w:szCs w:val="12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שוהה במעצר מזה </w:t>
      </w:r>
      <w:r>
        <w:rPr>
          <w:rFonts w:ascii="David" w:hAnsi="David"/>
          <w:rtl w:val="true"/>
        </w:rPr>
        <w:t>ארבעה חודשים</w:t>
      </w:r>
      <w:r>
        <w:rPr>
          <w:rFonts w:ascii="David" w:hAnsi="David"/>
          <w:rtl w:val="true"/>
        </w:rPr>
        <w:t xml:space="preserve"> וידוע כי תנאי מעצר קשים מתנאי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תנאים אלה קשיים נוכח הגבלות החלות בשל מגפת הקורונה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הסתגל לתנאי מעצרו ואף החל להשתלב בקבוצה ראשונית בתחום ההתמודדות עם המעצר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אימו חולה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 בפרנסת המשפחה טרם מעצרו ומעסיקו העיד לפניי על תרומתו בעבודה ועל כך שהוא מוכן לקבלו לעבודה עם שחרורו מהמאסר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התחשבתי בכך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ודה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לפניי חרטה וצער על מעשיו ו</w:t>
      </w:r>
      <w:r>
        <w:rPr>
          <w:rFonts w:ascii="David" w:hAnsi="David"/>
          <w:rtl w:val="true"/>
        </w:rPr>
        <w:t>ציין כי בית המאסר אינו מתאים לו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hd w:fill="FFFFFF" w:val="clear"/>
        <w:spacing w:lineRule="auto" w:line="360"/>
        <w:ind w:hanging="425" w:start="360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טאטור</w:t>
      </w:r>
      <w:r>
        <w:rPr>
          <w:rtl w:val="true"/>
          <w:lang w:eastAsia="he-IL"/>
        </w:rPr>
        <w:t>(</w:t>
      </w:r>
      <w:r>
        <w:rPr>
          <w:lang w:eastAsia="he-IL"/>
        </w:rPr>
        <w:t>1.2.15</w:t>
      </w:r>
      <w:r>
        <w:rPr>
          <w:rtl w:val="true"/>
          <w:lang w:eastAsia="he-IL"/>
        </w:rPr>
        <w:t xml:space="preserve">)  </w:t>
      </w:r>
      <w:r>
        <w:rPr>
          <w:rtl w:val="true"/>
          <w:lang w:eastAsia="he-IL"/>
        </w:rPr>
        <w:t>בקבעו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1701" w:end="1560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b/>
          <w:bCs/>
          <w:sz w:val="12"/>
          <w:szCs w:val="12"/>
          <w:lang w:eastAsia="he-IL"/>
        </w:rPr>
      </w:pPr>
      <w:r>
        <w:rPr>
          <w:rFonts w:cs="David" w:ascii="David" w:hAnsi="David"/>
          <w:b/>
          <w:bCs/>
          <w:sz w:val="12"/>
          <w:szCs w:val="12"/>
          <w:rtl w:val="true"/>
          <w:lang w:eastAsia="he-IL"/>
        </w:rPr>
      </w:r>
    </w:p>
    <w:p>
      <w:pPr>
        <w:pStyle w:val="Style14"/>
        <w:numPr>
          <w:ilvl w:val="0"/>
          <w:numId w:val="3"/>
        </w:numPr>
        <w:shd w:fill="FFFFFF" w:val="clear"/>
        <w:spacing w:lineRule="auto" w:line="360"/>
        <w:ind w:hanging="425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הנסיבות לחומרה ולקולה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מחד</w:t>
      </w:r>
      <w:r>
        <w:rPr>
          <w:rFonts w:ascii="David" w:hAnsi="David"/>
          <w:rtl w:val="true"/>
        </w:rPr>
        <w:t xml:space="preserve"> גיסא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לקח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אחריות למעשי</w:t>
      </w:r>
      <w:r>
        <w:rPr>
          <w:rFonts w:ascii="David" w:hAnsi="David"/>
          <w:rtl w:val="true"/>
        </w:rPr>
        <w:t>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</w:t>
      </w:r>
      <w:r>
        <w:rPr>
          <w:rFonts w:ascii="David" w:hAnsi="David"/>
          <w:rtl w:val="true"/>
        </w:rPr>
        <w:t>כו</w:t>
      </w:r>
      <w:r>
        <w:rPr>
          <w:rFonts w:ascii="David" w:hAnsi="David"/>
          <w:rtl w:val="true"/>
        </w:rPr>
        <w:t xml:space="preserve"> זמן שיפוטי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>יהם</w:t>
      </w:r>
      <w:r>
        <w:rPr>
          <w:rFonts w:ascii="David" w:hAnsi="David"/>
          <w:rtl w:val="true"/>
        </w:rPr>
        <w:t xml:space="preserve"> האישיות</w:t>
      </w:r>
      <w:r>
        <w:rPr>
          <w:rFonts w:ascii="David" w:hAnsi="David"/>
          <w:rtl w:val="true"/>
        </w:rPr>
        <w:t xml:space="preserve"> אינן פשוטות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הפלילי</w:t>
      </w:r>
      <w:r>
        <w:rPr>
          <w:rFonts w:ascii="David" w:hAnsi="David"/>
          <w:rtl w:val="true"/>
        </w:rPr>
        <w:t xml:space="preserve"> הנקי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בהתחשב בצורך בהרתעת הרבים </w:t>
      </w:r>
      <w:r>
        <w:rPr>
          <w:rFonts w:ascii="David" w:hAnsi="David"/>
          <w:rtl w:val="true"/>
        </w:rPr>
        <w:t xml:space="preserve">והיחיד </w:t>
      </w:r>
      <w:r>
        <w:rPr>
          <w:rFonts w:ascii="David" w:hAnsi="David"/>
          <w:rtl w:val="true"/>
        </w:rPr>
        <w:t>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לגזור על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עונש ברף הנמוך של המתחם</w:t>
      </w:r>
      <w:r>
        <w:rPr>
          <w:rFonts w:cs="David" w:ascii="David" w:hAnsi="David"/>
          <w:rtl w:val="true"/>
        </w:rPr>
        <w:t>.</w:t>
      </w:r>
    </w:p>
    <w:p>
      <w:pPr>
        <w:pStyle w:val="Style14"/>
        <w:shd w:fill="FFFFFF" w:val="clear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Style14"/>
        <w:numPr>
          <w:ilvl w:val="0"/>
          <w:numId w:val="3"/>
        </w:numPr>
        <w:shd w:fill="FFFFFF" w:val="clear"/>
        <w:spacing w:lineRule="auto" w:line="360"/>
        <w:ind w:hanging="425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לגזור על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את העונשים כדלהלן</w:t>
      </w:r>
      <w:r>
        <w:rPr>
          <w:rFonts w:cs="David" w:ascii="David" w:hAnsi="David"/>
          <w:rtl w:val="true"/>
        </w:rPr>
        <w:t xml:space="preserve">:  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אשר ירוצו מיום מעצרם </w:t>
      </w:r>
      <w:r>
        <w:rPr>
          <w:rFonts w:cs="David" w:ascii="David" w:hAnsi="David"/>
        </w:rPr>
        <w:t>2.4.20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ירצ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בתוך שנתיים מיום שחרור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על כל עבירת נשק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יעבר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בתוך שנתיים מיום שחרור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על עבירה של קשירת קשר לביצוע פשע או כל עבירת נשק מסוג 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תקופת המאסר שהוטלה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בכך שבפועל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לא קיבל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תמורה בשל המעשים המיוחסים ל</w:t>
      </w:r>
      <w:r>
        <w:rPr>
          <w:rFonts w:ascii="David" w:hAnsi="David"/>
          <w:rtl w:val="true"/>
        </w:rPr>
        <w:t>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להטיל עלי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והנאשמים באמצעות התוועדות </w:t>
      </w:r>
      <w:bookmarkEnd w:id="13"/>
      <w:r>
        <w:rPr>
          <w:rFonts w:ascii="Arial" w:hAnsi="Arial" w:cs="Arial"/>
          <w:rtl w:val="true"/>
        </w:rPr>
        <w:t>חזותית בשל מצב החירום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            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14593-04-20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נסראללה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מוניר עאסי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sz w:val="24"/>
        <w:szCs w:val="24"/>
        <w:rFonts w:ascii="David" w:hAnsi="David" w:cs="David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z1">
    <w:name w:val="WW8Num1z1"/>
    <w:qFormat/>
    <w:rPr>
      <w:rFonts w:ascii="David" w:hAnsi="David" w:cs="David"/>
      <w:sz w:val="24"/>
      <w:szCs w:val="24"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8291683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5578534" TargetMode="External"/><Relationship Id="rId17" Type="http://schemas.openxmlformats.org/officeDocument/2006/relationships/hyperlink" Target="http://www.nevo.co.il/case/5601503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5821327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17954235" TargetMode="External"/><Relationship Id="rId22" Type="http://schemas.openxmlformats.org/officeDocument/2006/relationships/hyperlink" Target="http://www.nevo.co.il/case/22006503" TargetMode="External"/><Relationship Id="rId23" Type="http://schemas.openxmlformats.org/officeDocument/2006/relationships/hyperlink" Target="http://www.nevo.co.il/case/22006503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case/17954222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2021-01-21T12:14:00Z</dcterms:created>
  <dc:creator> </dc:creator>
  <dc:description/>
  <cp:keywords/>
  <dc:language>en-IL</dc:language>
  <cp:lastModifiedBy>yafit</cp:lastModifiedBy>
  <dcterms:modified xsi:type="dcterms:W3CDTF">2021-01-21T12:14:00Z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נסראללה -מוניר עאסי;בהאא אלדין אבו תאיה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8291683;5878682;5578534;5601503;6473037;5821327;23750625;17954235;22006503:2;7791493;17954222</vt:lpwstr>
  </property>
  <property fmtid="{D5CDD505-2E9C-101B-9397-08002B2CF9AE}" pid="9" name="CITY">
    <vt:lpwstr>י-ם</vt:lpwstr>
  </property>
  <property fmtid="{D5CDD505-2E9C-101B-9397-08002B2CF9AE}" pid="10" name="DATE">
    <vt:lpwstr>20200809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70301/144.b:2;499.a.1;040b;144.a;040i;40ja</vt:lpwstr>
  </property>
  <property fmtid="{D5CDD505-2E9C-101B-9397-08002B2CF9AE}" pid="15" name="LAWYER">
    <vt:lpwstr>אריאלה נבון;ריאד סוואעד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14593</vt:lpwstr>
  </property>
  <property fmtid="{D5CDD505-2E9C-101B-9397-08002B2CF9AE}" pid="22" name="NEWPARTB">
    <vt:lpwstr>04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390020200809</vt:lpwstr>
  </property>
  <property fmtid="{D5CDD505-2E9C-101B-9397-08002B2CF9AE}" pid="34" name="TYPE_N_DATE">
    <vt:lpwstr>39020200809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