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919"/>
        <w:gridCol w:w="3660"/>
        <w:gridCol w:w="99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בעכו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61" w:type="dxa"/>
            <w:gridSpan w:val="3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14786-08-19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משטרת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תחנת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עכו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אסמאעיל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אסיר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0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השופטת  ג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ני טנוס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דינת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ישראל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שלוחת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תביעות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גליל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צפון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פריד אסמאעיל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אסיר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באסל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פלאח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ascii="FrankRuehl" w:hAnsi="FrankRuehl" w:cs="FrankRuehl"/>
            <w:color w:val="0000FF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' 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5">
        <w:r>
          <w:rPr>
            <w:rStyle w:val="Hyperlink"/>
            <w:rFonts w:ascii="FrankRuehl" w:hAnsi="FrankRuehl" w:cs="FrankRuehl"/>
            <w:color w:val="0000FF"/>
            <w:rtl w:val="true"/>
          </w:rPr>
          <w:t>חוק התכנון והבניה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ה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1965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6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פקודת בתי הסוהר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1971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  <w:bookmarkStart w:id="8" w:name="ABSTRACT_START"/>
      <w:bookmarkStart w:id="9" w:name="ABSTRACT_START"/>
      <w:bookmarkEnd w:id="9"/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הורשע על פי הודאתו ברכישת</w:t>
      </w:r>
      <w:r>
        <w:rPr>
          <w:rFonts w:cs="Arial" w:ascii="Arial" w:hAnsi="Arial"/>
          <w:rtl w:val="true"/>
        </w:rPr>
        <w:t>/</w:t>
      </w:r>
      <w:r>
        <w:rPr>
          <w:rFonts w:ascii="Arial" w:hAnsi="Arial" w:cs="Arial"/>
          <w:rtl w:val="true"/>
        </w:rPr>
        <w:t>החזקת נשק שלא כדין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עבירה לפי </w:t>
      </w:r>
      <w:hyperlink r:id="rId7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ל</w:t>
      </w:r>
      <w:hyperlink r:id="rId8"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תשל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ז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cs="Arial" w:ascii="Arial" w:hAnsi="Arial"/>
          <w:b/>
          <w:bCs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חוק העונשין</w:t>
      </w:r>
      <w:r>
        <w:rPr>
          <w:rFonts w:cs="Arial" w:ascii="Arial" w:hAnsi="Arial"/>
          <w:rtl w:val="true"/>
        </w:rPr>
        <w:t xml:space="preserve">"), </w:t>
      </w:r>
      <w:r>
        <w:rPr>
          <w:rFonts w:ascii="Arial" w:hAnsi="Arial" w:cs="Arial"/>
          <w:rtl w:val="true"/>
        </w:rPr>
        <w:t>וברכישת</w:t>
      </w:r>
      <w:r>
        <w:rPr>
          <w:rFonts w:cs="Arial" w:ascii="Arial" w:hAnsi="Arial"/>
          <w:rtl w:val="true"/>
        </w:rPr>
        <w:t>/</w:t>
      </w:r>
      <w:r>
        <w:rPr>
          <w:rFonts w:ascii="Arial" w:hAnsi="Arial" w:cs="Arial"/>
          <w:rtl w:val="true"/>
        </w:rPr>
        <w:t>החזקת חלק של נשק או תחמושת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עבירה לפי </w:t>
      </w:r>
      <w:hyperlink r:id="rId9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סיפא לחוק העונשין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bookmarkStart w:id="10" w:name="ABSTRACT_END"/>
      <w:bookmarkEnd w:id="10"/>
      <w:r>
        <w:rPr>
          <w:rFonts w:ascii="Arial" w:hAnsi="Arial" w:cs="Arial"/>
          <w:rtl w:val="true"/>
        </w:rPr>
        <w:t>בהתאם לעובדות 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30.7.2019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הגיעו שוטרים לבצע חיפוש בביתו ובחצריו של בנו של הנאשם באמצעות צו חיפוש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השוטרים התפצלו כך שחלקם עלה לבית בקומה השלישית הנמצא בבניין בן ארבע קומות בכפר נחף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וחלקם התמקם בקומת הקרקע תוך שתצפתו לעבר הבניין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בהמשך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הבחינו השוטרים בנאשם שיצא ממרפסת הבית בקומה השלישית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הסתכל למטה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ימינה ושמאלה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וזרק לקרקע קופסה ובתוכה </w:t>
      </w:r>
      <w:r>
        <w:rPr>
          <w:rFonts w:cs="Arial" w:ascii="Arial" w:hAnsi="Arial"/>
        </w:rPr>
        <w:t>44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כדורי תחמושת מסוג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 וכן נשק מסוג ברטה ובתוכו מחסנית ריקה שבכוחם להמית אדם או להזיק לו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תסקיר שירות המבחן</w:t>
      </w:r>
      <w:r>
        <w:rPr>
          <w:rFonts w:cs="Arial" w:ascii="Arial" w:hAnsi="Arial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בעניינו של הנאשם הוגש תסקיר מטעם שירות המבחן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התסקיר התייחס לנסיבותיו האישיות והמשפחתיות של הנאשם וממנו עולה כי הנאשם בן </w:t>
      </w:r>
      <w:r>
        <w:rPr>
          <w:rFonts w:cs="Arial" w:ascii="Arial" w:hAnsi="Arial"/>
        </w:rPr>
        <w:t>52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נשוי ואב לחמישה ילדים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שעצור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וכיום </w:t>
      </w:r>
      <w:r>
        <w:rPr>
          <w:rFonts w:ascii="Arial" w:hAnsi="Arial" w:cs="Arial"/>
          <w:rtl w:val="true"/>
        </w:rPr>
        <w:t xml:space="preserve">מרצה עונש מאסר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הערה שלי ג</w:t>
      </w:r>
      <w:r>
        <w:rPr>
          <w:rFonts w:cs="Arial" w:ascii="Arial" w:hAnsi="Arial"/>
          <w:rtl w:val="true"/>
        </w:rPr>
        <w:t>'.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>.)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בתיק אחר על עבירות של ניסיון לסחר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קשירת קשר לביצוע פשע והחזקת נשק שלא כדין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לנאשם שלוש הרשעות קודמות בגין עבירות שעניינן ביצוע עבודות בניה ללא היתר ובגין עבירה של השתתפות בתגרה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בהתייחס לעבירות נשוא 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מסר כי בעקבות סכסוך חמולות בכפר הוחזקו בביתו אקדחי דמה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אולם האקדח שזרק לא שייך לו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הבחין באקדח והבין שהוא אמיתי זרק אותו מהחלון במטרה להגן על בני משפחתו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מסר כי ביצוע העבירה אינו מאפיין את התנהגותו וכי חש חרטה על ביצועה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קצינת המבחן ציינה כי עומדים ותלויים נגד הנאשם שני כתבי אישום בגין עבירות שעניינן רכישת</w:t>
      </w:r>
      <w:r>
        <w:rPr>
          <w:rFonts w:cs="Arial" w:ascii="Arial" w:hAnsi="Arial"/>
          <w:rtl w:val="true"/>
        </w:rPr>
        <w:t xml:space="preserve">/ </w:t>
      </w:r>
      <w:r>
        <w:rPr>
          <w:rFonts w:ascii="Arial" w:hAnsi="Arial" w:cs="Arial"/>
          <w:rtl w:val="true"/>
        </w:rPr>
        <w:t>החזקת נשק שלא כדין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נשיאה</w:t>
      </w:r>
      <w:r>
        <w:rPr>
          <w:rFonts w:cs="Arial" w:ascii="Arial" w:hAnsi="Arial"/>
          <w:rtl w:val="true"/>
        </w:rPr>
        <w:t>/</w:t>
      </w:r>
      <w:r>
        <w:rPr>
          <w:rFonts w:ascii="Arial" w:hAnsi="Arial" w:cs="Arial"/>
          <w:rtl w:val="true"/>
        </w:rPr>
        <w:t>הובלת נשק שלא כדין וסחר</w:t>
      </w:r>
      <w:r>
        <w:rPr>
          <w:rFonts w:cs="Arial" w:ascii="Arial" w:hAnsi="Arial"/>
          <w:rtl w:val="true"/>
        </w:rPr>
        <w:t>/</w:t>
      </w:r>
      <w:r>
        <w:rPr>
          <w:rFonts w:ascii="Arial" w:hAnsi="Arial" w:cs="Arial"/>
          <w:rtl w:val="true"/>
        </w:rPr>
        <w:t>עסקה למסירת החזקה בנשק לאחר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וכן קשירת קשר לעשות פשע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לעניין הערכת הסיכון לעבריינות והסיכוי לשיקום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לאחר ששקלה את מכלול השיקולים הרלוונטיים ולנוכח חומרת העבירות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כמו גם גישתו המצמצמת מחומרת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קצינת המבחן לא באה בהמלצה טיפולית שיש בה כדי להפחית את הסיכון להישנות עבירה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קצינת המבחן הוסיפה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זקוק לענישה חיצונית מוחשית ובעלת גבולות ברורים העשויה לחדד עבורו גבולות החוק ואת חומרת מעשיו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במידה ובית המשפט ישקול הטלת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קצינת המבחן המליצה כי הנאשם ישולב דרך שב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 בתהליך טיפולי בהתאם לצרכיו הטיפוליים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טיעוני ב</w:t>
      </w:r>
      <w:r>
        <w:rPr>
          <w:rFonts w:cs="Arial" w:ascii="Arial" w:hAnsi="Arial"/>
          <w:b/>
          <w:bCs/>
          <w:u w:val="single"/>
          <w:rtl w:val="true"/>
        </w:rPr>
        <w:t>"</w:t>
      </w:r>
      <w:r>
        <w:rPr>
          <w:rFonts w:ascii="Arial" w:hAnsi="Arial" w:cs="Arial"/>
          <w:b/>
          <w:b/>
          <w:bCs/>
          <w:u w:val="single"/>
          <w:rtl w:val="true"/>
        </w:rPr>
        <w:t>כ המאשימה לעונש</w:t>
      </w:r>
      <w:r>
        <w:rPr>
          <w:rFonts w:cs="Arial" w:ascii="Arial" w:hAnsi="Arial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הגישה טיעונים בכתב והשלימה את טיעוניה בפניי ובהם התייחסה לערכים המוגנים שנפגעו ולמידת הפגיעה בהם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טענה תוך הפנייה לפסיקה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מתחם העונש ההולם נע בין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לצד ענישה נלווית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באשר לנסיבות הקשורות בביצוע העבירה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הדגישה כי הנאשם היה המבצע היחידי  והאחראי הבלעדי לתוצאותיה אשר יכולות היו להיות קשות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סוג הנשק ונסיבות הימצאות נשק חם שעה שמצויה בתוכו מחסנית והכדורים מצויים בקופסה צמודה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בהן כדי להגביר את המסוכנות והנזק אשר עלול להיגרם משימוש בהם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זאת ועוד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השלכת הנשק והתחמושת על ידי הנאשם מהמבנה מעידה עליו כמי שניסה לטשטש ולהעלים את מעשיו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באשר לנסיבות שאינן קשורות בביצוע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המאשימה טענה כי לנאשם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הרשעת קודמות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האחרונה מיום </w:t>
      </w:r>
      <w:r>
        <w:rPr>
          <w:rFonts w:cs="Arial" w:ascii="Arial" w:hAnsi="Arial"/>
        </w:rPr>
        <w:t>27.1.2021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ועניינה סחר בנשק ועבירות נלוות בגינה נשפט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48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לחובת הנאשם הרשעות בעבירות </w:t>
      </w:r>
      <w:r>
        <w:rPr>
          <w:rFonts w:ascii="Arial" w:hAnsi="Arial" w:cs="Arial"/>
          <w:rtl w:val="true"/>
        </w:rPr>
        <w:t xml:space="preserve">לפי </w:t>
      </w:r>
      <w:hyperlink r:id="rId1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התכנון והבניה</w:t>
        </w:r>
      </w:hyperlink>
      <w:r>
        <w:rPr>
          <w:rFonts w:ascii="Arial" w:hAnsi="Arial" w:cs="Arial"/>
          <w:rtl w:val="true"/>
        </w:rPr>
        <w:t xml:space="preserve"> והשתתפות בתגרה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הפנתה לתסקיר שירות המבחן ולמסקנות העולות ממנו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לפי עמדת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נוכח סוג העבירות בהן הורשע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נסיבות ביצוען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הפגיעה החמורה בערכים המוגנים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עמדת הפסיקה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מסקנות שירות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לרבות העדר כל הליך טיפולי המצדיק סטייה ממתחם העונש ההולם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להשית על הנאשם עונש ברף הבינוני של מתחם הענישה המתבטא במאסר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לצד מאסר על תנאי ארוך ומרתיע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קנס והתחייבות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טיעוני הסנגור לעונש</w:t>
      </w:r>
      <w:r>
        <w:rPr>
          <w:rFonts w:cs="Arial" w:ascii="Arial" w:hAnsi="Arial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בתחילת טיעוניו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הפנה הסנגור לעובדה כי הנאשם כבר מרצה עונש מאסר בתיק אחר ועל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ביקש להתחשב בעובדה זו בזמן הטלת העונש בתיק זה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לעניין הנסיבות הקשורות בביצוע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הסנגור הפנה לעובדות כתב האישום ולעובדה כי מלכתחילה צו החיפוש יצא 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 בנו של הנאשם ולעובדה כי לא נעשה שימוש בנשק על ידי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הנשק לא היה טעון וקופסת הכדורים שנזרקה הייתה סגורה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אשר לפסיקה אליה הפנתה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הסנגור טען כי מדובר בפסיקה מחמירה ולא רלוונטית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לפיכך הפנה לפסיקה אחרת וטען כי המתחם מתחיל במאסר שיכול וירוצה בעבודות שירות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באשר לנסיבות שאינן קשורות בביצוע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טען הסנגור כי בהודאתו חסך הנאשם זמן שיפוטי ואת הצורך בהעדת העדים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לפיכך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ביקש הסנגור כי יושת על הנאשם מאסר בחופף למאסר אותו מרצה כיום ולא להוסיף עליו תקופה נוספת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שכן העונש שנגזר עליו בתיק האחר הוא חמור לאור כך שבית המשפט שם לקח בחשבון לחומרה את העובדה כי הנאשם הורשע בעבירות נשק בתיק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ומכאן שהנאשם קיבל למעשה עונש בגין תיק זה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הטלת עונש מאסר במצטבר לעונש שהוא מרצה כעת לא תזכה את הנאשם בניכוי מנהלי מטעם שב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דברי הנאשם</w:t>
      </w:r>
      <w:r>
        <w:rPr>
          <w:rFonts w:cs="Arial" w:ascii="Arial" w:hAnsi="Arial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ביקש להתחשב במצבו ולהקל עמו מאחר שהוא מרצה כיום עונש חמור מאוד בגין הרשעתו בתיק האחר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דיון</w:t>
      </w:r>
      <w:r>
        <w:rPr>
          <w:rFonts w:cs="Arial" w:ascii="Arial" w:hAnsi="Arial"/>
          <w:b/>
          <w:bCs/>
          <w:u w:val="single"/>
          <w:rtl w:val="true"/>
        </w:rPr>
        <w:t>:</w:t>
      </w:r>
    </w:p>
    <w:p>
      <w:pPr>
        <w:pStyle w:val="NoSpacing"/>
        <w:spacing w:lineRule="auto" w:line="360"/>
        <w:ind w:end="0"/>
        <w:jc w:val="both"/>
        <w:rPr>
          <w:lang w:val="en-IL" w:eastAsia="en-IL"/>
        </w:rPr>
      </w:pPr>
      <w:r>
        <w:rPr>
          <w:rtl w:val="true"/>
          <w:lang w:eastAsia="he-IL"/>
        </w:rPr>
        <w:t>הנאשם חטא בביצוע עבירות חמורות עת החזיק שלא כדין באקדח שמסוגל לירות ובכוחו להמית אדם ובתוכו מחסנית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וכן החזיק בקופסה שהכילה </w:t>
      </w:r>
      <w:r>
        <w:rPr>
          <w:lang w:eastAsia="he-IL"/>
        </w:rPr>
        <w:t>44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כדורים של </w:t>
      </w:r>
      <w:r>
        <w:rPr>
          <w:lang w:eastAsia="he-IL"/>
        </w:rPr>
        <w:t>9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מ</w:t>
      </w:r>
      <w:r>
        <w:rPr>
          <w:rtl w:val="true"/>
          <w:lang w:eastAsia="he-IL"/>
        </w:rPr>
        <w:t>.</w:t>
      </w:r>
    </w:p>
    <w:p>
      <w:pPr>
        <w:pStyle w:val="NoSpacing"/>
        <w:spacing w:lineRule="auto" w:line="360"/>
        <w:ind w:end="0"/>
        <w:jc w:val="both"/>
        <w:rPr>
          <w:lang w:val="en-IL" w:eastAsia="en-IL"/>
        </w:rPr>
      </w:pPr>
      <w:r>
        <w:rPr>
          <w:rtl w:val="true"/>
          <w:lang w:val="en-IL" w:eastAsia="en-IL"/>
        </w:rPr>
        <w:t xml:space="preserve"> </w:t>
      </w:r>
    </w:p>
    <w:p>
      <w:pPr>
        <w:pStyle w:val="NoSpacing"/>
        <w:spacing w:lineRule="auto" w:line="360"/>
        <w:ind w:end="0"/>
        <w:jc w:val="both"/>
        <w:rPr/>
      </w:pPr>
      <w:r>
        <w:rPr>
          <w:rtl w:val="true"/>
        </w:rPr>
        <w:t>הערכים המוגנים שנפגעו כתוצאה מביצוע העבירות הם שלום הציבור וביטחונו</w:t>
      </w:r>
      <w:r>
        <w:rPr>
          <w:rtl w:val="true"/>
        </w:rPr>
        <w:t xml:space="preserve">, </w:t>
      </w:r>
      <w:r>
        <w:rPr>
          <w:rtl w:val="true"/>
        </w:rPr>
        <w:t>שכן שימוש בנשק שלא כדין עלול להוביל לתוצאות הרות אסון</w:t>
      </w:r>
      <w:r>
        <w:rPr>
          <w:rtl w:val="true"/>
        </w:rPr>
        <w:t xml:space="preserve">. </w:t>
      </w:r>
      <w:r>
        <w:rPr>
          <w:rtl w:val="true"/>
        </w:rPr>
        <w:t>לצערנו</w:t>
      </w:r>
      <w:r>
        <w:rPr>
          <w:rtl w:val="true"/>
        </w:rPr>
        <w:t xml:space="preserve">, </w:t>
      </w:r>
      <w:r>
        <w:rPr>
          <w:rtl w:val="true"/>
        </w:rPr>
        <w:t>אנו עדים לאלימות גואה מדי יום תוך שימוש בנשק חם באופן שפוגע בשלום גופם ושלוות נפשם של הציבור</w:t>
      </w:r>
      <w:r>
        <w:rPr>
          <w:rtl w:val="true"/>
        </w:rPr>
        <w:t xml:space="preserve">, </w:t>
      </w:r>
      <w:r>
        <w:rPr>
          <w:rtl w:val="true"/>
        </w:rPr>
        <w:t>ולצערנו אף לקיפוח חיי אדם</w:t>
      </w:r>
      <w:r>
        <w:rPr>
          <w:rtl w:val="true"/>
        </w:rPr>
        <w:t xml:space="preserve">. </w:t>
      </w:r>
      <w:r>
        <w:rPr>
          <w:rtl w:val="true"/>
        </w:rPr>
        <w:t>בהקשר זה נקבע כי</w:t>
      </w:r>
      <w:r>
        <w:rPr>
          <w:rtl w:val="true"/>
        </w:rPr>
        <w:t xml:space="preserve">: </w:t>
      </w:r>
    </w:p>
    <w:p>
      <w:pPr>
        <w:pStyle w:val="NoSpacing"/>
        <w:spacing w:lineRule="auto" w:line="360"/>
        <w:ind w:start="1133" w:end="993"/>
        <w:jc w:val="both"/>
        <w:rPr>
          <w:b/>
          <w:bCs/>
          <w:lang w:eastAsia="he-IL"/>
        </w:rPr>
      </w:pPr>
      <w:r>
        <w:rPr>
          <w:b/>
          <w:bCs/>
          <w:rtl w:val="true"/>
          <w:lang w:eastAsia="he-IL"/>
        </w:rPr>
        <w:t>"</w:t>
      </w:r>
      <w:r>
        <w:rPr>
          <w:b/>
          <w:b/>
          <w:bCs/>
          <w:rtl w:val="true"/>
          <w:lang w:eastAsia="he-IL"/>
        </w:rPr>
        <w:t>עבירות בנשק חומרתן מכופלת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הן בעצם המעבר על החוק ובמוטעם במאטריה הספציפית</w:t>
      </w:r>
      <w:r>
        <w:rPr>
          <w:b/>
          <w:bCs/>
          <w:rtl w:val="true"/>
          <w:lang w:eastAsia="he-IL"/>
        </w:rPr>
        <w:t xml:space="preserve">; </w:t>
      </w:r>
      <w:r>
        <w:rPr>
          <w:b/>
          <w:b/>
          <w:bCs/>
          <w:rtl w:val="true"/>
          <w:lang w:eastAsia="he-IL"/>
        </w:rPr>
        <w:t>נשק שאינו כדין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קרי – ברישיון כדבעי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מועד לפורענות</w:t>
      </w:r>
      <w:r>
        <w:rPr>
          <w:b/>
          <w:bCs/>
          <w:rtl w:val="true"/>
          <w:lang w:eastAsia="he-IL"/>
        </w:rPr>
        <w:t xml:space="preserve">. </w:t>
      </w:r>
      <w:r>
        <w:rPr>
          <w:b/>
          <w:b/>
          <w:bCs/>
          <w:rtl w:val="true"/>
          <w:lang w:eastAsia="he-IL"/>
        </w:rPr>
        <w:t>זכורה האמירה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אם ראית במחזה תיאטרון אקדח במערכה הראשונה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סופו שיירה במערכה השניה או השלישית</w:t>
      </w:r>
      <w:r>
        <w:rPr>
          <w:b/>
          <w:bCs/>
          <w:rtl w:val="true"/>
          <w:lang w:eastAsia="he-IL"/>
        </w:rPr>
        <w:t xml:space="preserve">. </w:t>
      </w:r>
      <w:r>
        <w:rPr>
          <w:b/>
          <w:b/>
          <w:bCs/>
          <w:rtl w:val="true"/>
          <w:lang w:eastAsia="he-IL"/>
        </w:rPr>
        <w:t>הימצאותו של נשק בידיים לא נכונות עלול להביא בסופו של יום אף לקיפוד חיי אדם</w:t>
      </w:r>
      <w:r>
        <w:rPr>
          <w:b/>
          <w:bCs/>
          <w:rtl w:val="true"/>
          <w:lang w:eastAsia="he-IL"/>
        </w:rPr>
        <w:t xml:space="preserve">" </w:t>
      </w:r>
      <w:r>
        <w:rPr>
          <w:rtl w:val="true"/>
          <w:lang w:eastAsia="he-IL"/>
        </w:rPr>
        <w:t>(</w:t>
      </w:r>
      <w:hyperlink r:id="rId1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4460/11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  <w:lang w:eastAsia="he-IL"/>
        </w:rPr>
        <w:t>מדינת ישראל 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פאיד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מיום </w:t>
      </w:r>
      <w:r>
        <w:rPr>
          <w:lang w:eastAsia="he-IL"/>
        </w:rPr>
        <w:t>28.11.2011</w:t>
      </w:r>
      <w:r>
        <w:rPr>
          <w:rtl w:val="true"/>
          <w:lang w:eastAsia="he-IL"/>
        </w:rPr>
        <w:t>)</w:t>
      </w:r>
      <w:r>
        <w:rPr>
          <w:b/>
          <w:bCs/>
          <w:rtl w:val="true"/>
          <w:lang w:eastAsia="he-IL"/>
        </w:rPr>
        <w:t>.</w:t>
      </w:r>
    </w:p>
    <w:p>
      <w:pPr>
        <w:pStyle w:val="NoSpacing"/>
        <w:spacing w:lineRule="auto" w:line="360"/>
        <w:ind w:end="0"/>
        <w:jc w:val="both"/>
        <w:rPr>
          <w:b/>
          <w:bCs/>
          <w:lang w:eastAsia="he-IL"/>
        </w:rPr>
      </w:pPr>
      <w:r>
        <w:rPr>
          <w:b/>
          <w:bCs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>:</w:t>
      </w:r>
    </w:p>
    <w:p>
      <w:pPr>
        <w:pStyle w:val="Normal"/>
        <w:spacing w:lineRule="auto" w:line="360"/>
        <w:ind w:start="1077" w:end="851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חומרתן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ובכללן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ונשיאת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חומרת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פוטנציאל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הכרוך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המתגלגל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להגיע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גורמים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לפעילות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ביטחונית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פגיעתו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מורגשת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ומהווה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כולו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>כתוצאה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גדל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ההכרח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להרתיע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היחיד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והרבים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עיסוק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בכך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צוין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קיימת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הדרגתית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המושתים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 xml:space="preserve">" </w:t>
      </w:r>
      <w:r>
        <w:rPr>
          <w:rtl w:val="true"/>
        </w:rPr>
        <w:t>(</w:t>
      </w:r>
      <w:hyperlink r:id="rId1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135/17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בסל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8.3.2017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,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start="1077" w:end="993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נוכח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ריבוי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הירי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לנקוט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במדיניות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b/>
          <w:bCs/>
          <w:rtl w:val="true"/>
        </w:rPr>
        <w:t xml:space="preserve">..." </w:t>
      </w:r>
      <w:r>
        <w:rPr>
          <w:rtl w:val="true"/>
        </w:rPr>
        <w:t>ועוד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ביעור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תופעת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חוקיים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אפוא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אינטרס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ציבורי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מהמעלה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הכרחי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למאבק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בתופעות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הפשיעה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האלימה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לסוגיה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הרווחות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במקומותינו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בבחינת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ייבוש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הביצה</w:t>
      </w: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>המשמשת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לגידולן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תופעות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מהלך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מחייב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הירתמות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ומרתיעה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לסוגיהן</w:t>
      </w:r>
      <w:r>
        <w:rPr>
          <w:b/>
          <w:bCs/>
          <w:rtl w:val="true"/>
        </w:rPr>
        <w:t xml:space="preserve">" </w:t>
      </w:r>
      <w:r>
        <w:rPr>
          <w:rtl w:val="true"/>
        </w:rPr>
        <w:t>(</w:t>
      </w:r>
      <w:hyperlink r:id="rId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4406/19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סובח</w:t>
      </w:r>
      <w:r>
        <w:rPr>
          <w:rtl w:val="true"/>
        </w:rPr>
        <w:t xml:space="preserve">, 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5.11.2019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 w:before="0" w:after="120"/>
        <w:ind w:start="1077" w:end="851"/>
        <w:jc w:val="both"/>
        <w:rPr/>
      </w:pP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בשנים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האחרונות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עמד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בית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משפט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זה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פעם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אחר</w:t>
      </w:r>
      <w:r>
        <w:rPr>
          <w:rFonts w:cs="Times New Roman"/>
          <w:b/>
          <w:b/>
          <w:bCs/>
          <w:color w:val="000000"/>
          <w:rtl w:val="true"/>
        </w:rPr>
        <w:t xml:space="preserve">  </w:t>
      </w:r>
      <w:r>
        <w:rPr>
          <w:b/>
          <w:b/>
          <w:bCs/>
          <w:color w:val="000000"/>
          <w:rtl w:val="true"/>
        </w:rPr>
        <w:t>פעם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החומרה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היתרה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שבביצוע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עבירות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נשק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וזאת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בשל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הסיכון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הממשי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לשלום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הציבור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והפגיעה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בערכים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המוגנים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שלמות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הגוף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וחיי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אדם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הטמונים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בעבירות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אלו</w:t>
      </w:r>
      <w:r>
        <w:rPr>
          <w:b/>
          <w:bCs/>
          <w:color w:val="000000"/>
          <w:rtl w:val="true"/>
        </w:rPr>
        <w:t xml:space="preserve">. </w:t>
      </w:r>
      <w:r>
        <w:rPr>
          <w:b/>
          <w:b/>
          <w:bCs/>
          <w:color w:val="000000"/>
          <w:rtl w:val="true"/>
        </w:rPr>
        <w:t>לאור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כך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ננקטת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מגמת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החמרה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ברמת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הענישה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המורשים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בעבירות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נשק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כך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שזו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תבטא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באופן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הולם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פוטנציאל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ההרס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הרב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הגלום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בהן</w:t>
      </w:r>
      <w:r>
        <w:rPr>
          <w:b/>
          <w:bCs/>
          <w:color w:val="000000"/>
          <w:rtl w:val="true"/>
        </w:rPr>
        <w:t xml:space="preserve">" </w:t>
      </w:r>
      <w:r>
        <w:rPr>
          <w:color w:val="000000"/>
          <w:rtl w:val="true"/>
        </w:rPr>
        <w:t>(</w:t>
      </w:r>
      <w:hyperlink r:id="rId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5446/19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הוארי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color w:val="000000"/>
        </w:rPr>
        <w:t>25.11.2019</w:t>
      </w:r>
      <w:r>
        <w:rPr>
          <w:color w:val="000000"/>
          <w:rtl w:val="true"/>
        </w:rPr>
        <w:t>).</w:t>
      </w:r>
    </w:p>
    <w:p>
      <w:pPr>
        <w:pStyle w:val="NoSpacing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שהודו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tl w:val="true"/>
        </w:rPr>
        <w:t xml:space="preserve">, </w:t>
      </w:r>
      <w:r>
        <w:rPr>
          <w:rtl w:val="true"/>
        </w:rPr>
        <w:t>נטלו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ומעלה</w:t>
      </w:r>
      <w:r>
        <w:rPr>
          <w:rtl w:val="true"/>
        </w:rPr>
        <w:t xml:space="preserve">.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אופן</w:t>
      </w:r>
      <w:r>
        <w:rPr>
          <w:rtl w:val="true"/>
        </w:rPr>
        <w:t xml:space="preserve">, </w:t>
      </w:r>
      <w:r>
        <w:rPr>
          <w:rtl w:val="true"/>
        </w:rPr>
        <w:t>מגמת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והאינדיווידואלי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5681/14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טאטור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1.2.2015</w:t>
      </w:r>
      <w:r>
        <w:rPr>
          <w:rtl w:val="true"/>
        </w:rPr>
        <w:t xml:space="preserve">; </w:t>
      </w: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1729/19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עבאהרה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10.10.2019</w:t>
      </w:r>
      <w:r>
        <w:rPr>
          <w:rtl w:val="true"/>
        </w:rPr>
        <w:t xml:space="preserve">; </w:t>
      </w:r>
      <w:r>
        <w:rPr>
          <w:rtl w:val="true"/>
        </w:rPr>
        <w:t>ו</w:t>
      </w:r>
      <w:hyperlink r:id="rId17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3619/21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הלאל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26.5.2021</w:t>
      </w:r>
      <w:r>
        <w:rPr>
          <w:rtl w:val="true"/>
        </w:rPr>
        <w:t xml:space="preserve">). </w:t>
      </w:r>
    </w:p>
    <w:p>
      <w:pPr>
        <w:pStyle w:val="NoSpacing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Spacing"/>
        <w:spacing w:lineRule="auto" w:line="360"/>
        <w:ind w:end="0"/>
        <w:jc w:val="both"/>
        <w:rPr/>
      </w:pPr>
      <w:r>
        <w:rPr>
          <w:rtl w:val="true"/>
        </w:rPr>
        <w:t>אביא להלן מקבץ של פסיקה רלוונטית</w:t>
      </w:r>
      <w:r>
        <w:rPr>
          <w:rtl w:val="true"/>
        </w:rPr>
        <w:t>:</w:t>
      </w:r>
    </w:p>
    <w:p>
      <w:pPr>
        <w:pStyle w:val="NoSpacing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4329/10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איסמעיל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25.10.2010</w:t>
      </w:r>
      <w:r>
        <w:rPr>
          <w:rtl w:val="true"/>
        </w:rPr>
        <w:t xml:space="preserve">), </w:t>
      </w:r>
      <w:r>
        <w:rPr>
          <w:rtl w:val="true"/>
        </w:rPr>
        <w:t xml:space="preserve">מדובר בנאשם אשר החזיק ברכבו באקדח טעון ובתחמושת במצב נצור והוטלו עליו בבית המשפט המחוזי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,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חודשי מאסר על תנאי וקנס</w:t>
      </w:r>
      <w:r>
        <w:rPr>
          <w:rtl w:val="true"/>
        </w:rPr>
        <w:t xml:space="preserve">.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 העליון דחה את הערעור על חומרת העונש</w:t>
      </w:r>
      <w:r>
        <w:rPr>
          <w:rtl w:val="true"/>
        </w:rPr>
        <w:t>.</w:t>
      </w:r>
    </w:p>
    <w:p>
      <w:pPr>
        <w:pStyle w:val="NoSpacing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hyperlink r:id="rId19">
        <w:r>
          <w:rPr>
            <w:rStyle w:val="Hyperlink"/>
            <w:color w:val="0000FF"/>
            <w:u w:val="single"/>
            <w:rtl w:val="true"/>
            <w:lang w:eastAsia="he-IL"/>
          </w:rPr>
          <w:t>ת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color w:val="0000FF"/>
            <w:u w:val="single"/>
            <w:rtl w:val="true"/>
            <w:lang w:eastAsia="he-IL"/>
          </w:rPr>
          <w:t>(</w:t>
        </w:r>
        <w:r>
          <w:rPr>
            <w:rStyle w:val="Hyperlink"/>
            <w:color w:val="0000FF"/>
            <w:u w:val="single"/>
            <w:rtl w:val="true"/>
            <w:lang w:eastAsia="he-IL"/>
          </w:rPr>
          <w:t>מחוזי</w:t>
        </w:r>
        <w:r>
          <w:rPr>
            <w:rStyle w:val="Hyperlink"/>
            <w:color w:val="0000FF"/>
            <w:u w:val="single"/>
            <w:rtl w:val="true"/>
            <w:lang w:eastAsia="he-IL"/>
          </w:rPr>
          <w:t>-</w:t>
        </w:r>
        <w:r>
          <w:rPr>
            <w:rStyle w:val="Hyperlink"/>
            <w:color w:val="0000FF"/>
            <w:u w:val="single"/>
            <w:rtl w:val="true"/>
            <w:lang w:eastAsia="he-IL"/>
          </w:rPr>
          <w:t>נצרת</w:t>
        </w:r>
        <w:r>
          <w:rPr>
            <w:rStyle w:val="Hyperlink"/>
            <w:color w:val="0000FF"/>
            <w:u w:val="single"/>
            <w:rtl w:val="true"/>
            <w:lang w:eastAsia="he-IL"/>
          </w:rPr>
          <w:t xml:space="preserve">) </w:t>
        </w:r>
        <w:r>
          <w:rPr>
            <w:rStyle w:val="Hyperlink"/>
            <w:color w:val="0000FF"/>
            <w:u w:val="single"/>
            <w:lang w:eastAsia="he-IL"/>
          </w:rPr>
          <w:t>18510-10-14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מדינת ישראל 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אחמד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lang w:eastAsia="he-IL"/>
        </w:rPr>
        <w:t>3.3.2015</w:t>
      </w:r>
      <w:r>
        <w:rPr>
          <w:rtl w:val="true"/>
          <w:lang w:eastAsia="he-IL"/>
        </w:rPr>
        <w:t xml:space="preserve">), </w:t>
      </w:r>
      <w:r>
        <w:rPr>
          <w:rtl w:val="true"/>
          <w:lang w:eastAsia="he-IL"/>
        </w:rPr>
        <w:t>מדובר בנאשם בעל שתי הרשעות קודמות בעבירות סמים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כתב האישום בעניינו כלל שני אירועים שאחד מהם התייחס להחזקת אקדח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מחסנית ובה כדורים תואמים וברימון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ואילו האירוע השני התייחס לעבירת סמים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בית המשפט קבע כי מתחם העונש ההולם בגין עבירות הנשק נע בין </w:t>
      </w:r>
      <w:r>
        <w:rPr>
          <w:lang w:eastAsia="he-IL"/>
        </w:rPr>
        <w:t>6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 עבודות שירות ל</w:t>
      </w:r>
      <w:r>
        <w:rPr>
          <w:rtl w:val="true"/>
          <w:lang w:eastAsia="he-IL"/>
        </w:rPr>
        <w:t>-</w:t>
      </w:r>
      <w:r>
        <w:rPr>
          <w:lang w:eastAsia="he-IL"/>
        </w:rPr>
        <w:t>18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 מאסר בפועל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ובסופו של דבר גזר עליו בגין האירוע המתייחס לעבירות הנשק </w:t>
      </w:r>
      <w:r>
        <w:rPr>
          <w:lang w:eastAsia="he-IL"/>
        </w:rPr>
        <w:t>10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 מאסר בפועל</w:t>
      </w:r>
      <w:r>
        <w:rPr>
          <w:rtl w:val="true"/>
          <w:lang w:eastAsia="he-IL"/>
        </w:rPr>
        <w:t xml:space="preserve">. </w:t>
      </w:r>
      <w:r>
        <w:rPr>
          <w:rtl w:val="true"/>
        </w:rPr>
        <w:t xml:space="preserve"> </w:t>
      </w:r>
    </w:p>
    <w:p>
      <w:pPr>
        <w:pStyle w:val="NoSpacing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hyperlink r:id="rId20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5576-05-12</w:t>
        </w:r>
      </w:hyperlink>
      <w:r>
        <w:rPr>
          <w:rtl w:val="true"/>
        </w:rPr>
        <w:t xml:space="preserve"> (</w:t>
      </w:r>
      <w:r>
        <w:rPr>
          <w:rtl w:val="true"/>
        </w:rPr>
        <w:t>שלום חדרה</w:t>
      </w:r>
      <w:r>
        <w:rPr>
          <w:rtl w:val="true"/>
        </w:rPr>
        <w:t xml:space="preserve">)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מברצקי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12.11.2012</w:t>
      </w:r>
      <w:r>
        <w:rPr>
          <w:rtl w:val="true"/>
        </w:rPr>
        <w:t xml:space="preserve">), </w:t>
      </w:r>
      <w:r>
        <w:rPr>
          <w:rtl w:val="true"/>
        </w:rPr>
        <w:t xml:space="preserve">מדובר בנאשם שהורשע בהחזקת אקדח מסוג ברטה לאחר שרכש אותו מאחר כמו כן נמצא הנאשם מחזיק שתי מחסניות תואמות המכילות בתוכן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כדורים תואמים בכל אחת מהמחסניות</w:t>
      </w:r>
      <w:r>
        <w:rPr>
          <w:rtl w:val="true"/>
        </w:rPr>
        <w:t xml:space="preserve">, </w:t>
      </w:r>
      <w:r>
        <w:rPr>
          <w:rtl w:val="true"/>
        </w:rPr>
        <w:t>וקופסאות שהכילו עשרות כדורים ותרמילים מסוגים שונים</w:t>
      </w:r>
      <w:r>
        <w:rPr>
          <w:rtl w:val="true"/>
        </w:rPr>
        <w:t xml:space="preserve">, </w:t>
      </w:r>
      <w:r>
        <w:rPr>
          <w:rtl w:val="true"/>
        </w:rPr>
        <w:t xml:space="preserve">בית המשפט גזר על הנאשם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חודשי מאסר בפועל ומאסר על תנאי</w:t>
      </w:r>
      <w:r>
        <w:rPr>
          <w:rtl w:val="true"/>
        </w:rPr>
        <w:t>.</w:t>
      </w:r>
    </w:p>
    <w:p>
      <w:pPr>
        <w:pStyle w:val="NoSpacing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5604/11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נאסר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5.10.2011</w:t>
      </w:r>
      <w:r>
        <w:rPr>
          <w:rtl w:val="true"/>
        </w:rPr>
        <w:t xml:space="preserve">), </w:t>
      </w:r>
      <w:r>
        <w:rPr>
          <w:rtl w:val="true"/>
        </w:rPr>
        <w:t>בית המשפט העליון דחה ערעור על פס</w:t>
      </w:r>
      <w:r>
        <w:rPr>
          <w:rtl w:val="true"/>
        </w:rPr>
        <w:t>"</w:t>
      </w:r>
      <w:r>
        <w:rPr>
          <w:rtl w:val="true"/>
        </w:rPr>
        <w:t>ד בו השית בית המשפט המחוזי על הנאשם</w:t>
      </w:r>
      <w:r>
        <w:rPr>
          <w:rtl w:val="true"/>
        </w:rPr>
        <w:t xml:space="preserve">, </w:t>
      </w:r>
      <w:r>
        <w:rPr>
          <w:rtl w:val="true"/>
        </w:rPr>
        <w:t>שלו הרשעות קודמות בעבירות נשק</w:t>
      </w:r>
      <w:r>
        <w:rPr>
          <w:rtl w:val="true"/>
        </w:rPr>
        <w:t xml:space="preserve">, </w:t>
      </w:r>
      <w:r>
        <w:rPr>
          <w:rtl w:val="true"/>
        </w:rPr>
        <w:t xml:space="preserve">עונש של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בפועל ומאסר על תנאי בגין עבירות של החזקת נשק ותחמושת לאחר שנתפסו אצל הנאשם בחיפוש בביתו אקדח מסוג ברטה ומחסנית לאקדח ובה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בית המשפט העליון הוסיף</w:t>
      </w:r>
      <w:r>
        <w:rPr>
          <w:rtl w:val="true"/>
        </w:rPr>
        <w:t xml:space="preserve">, </w:t>
      </w:r>
      <w:r>
        <w:rPr>
          <w:rtl w:val="true"/>
        </w:rPr>
        <w:t>כי אף אם האקדח שנתפס לא היה תקין</w:t>
      </w:r>
      <w:r>
        <w:rPr>
          <w:rtl w:val="true"/>
        </w:rPr>
        <w:t xml:space="preserve">, </w:t>
      </w:r>
      <w:r>
        <w:rPr>
          <w:rtl w:val="true"/>
        </w:rPr>
        <w:t>אין בכך כדי למזער את המסוכנות</w:t>
      </w:r>
      <w:r>
        <w:rPr>
          <w:rtl w:val="true"/>
        </w:rPr>
        <w:t xml:space="preserve">. </w:t>
      </w:r>
    </w:p>
    <w:p>
      <w:pPr>
        <w:pStyle w:val="NoSpacing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11205-01-12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רישאת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9.5.2012</w:t>
      </w:r>
      <w:r>
        <w:rPr>
          <w:rtl w:val="true"/>
        </w:rPr>
        <w:t xml:space="preserve">), </w:t>
      </w:r>
      <w:r>
        <w:rPr>
          <w:rtl w:val="true"/>
        </w:rPr>
        <w:t xml:space="preserve">מדובר בנאשם שהורשע לאחר שמיעת ראיות בהחזקת נשק ברכב </w:t>
      </w:r>
      <w:r>
        <w:rPr>
          <w:rtl w:val="true"/>
        </w:rPr>
        <w:t>(</w:t>
      </w:r>
      <w:r>
        <w:rPr>
          <w:rtl w:val="true"/>
        </w:rPr>
        <w:t>אקדח ושתי מחסניות עם כדורים</w:t>
      </w:r>
      <w:r>
        <w:rPr>
          <w:rtl w:val="true"/>
        </w:rPr>
        <w:t xml:space="preserve">) </w:t>
      </w:r>
      <w:r>
        <w:rPr>
          <w:rtl w:val="true"/>
        </w:rPr>
        <w:t>וכן החזקת סכין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גזר על הנאשם שהיה בעל הרשעות קודמות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 מאסר בפועל לצד ענישה נלווית</w:t>
      </w:r>
      <w:r>
        <w:rPr>
          <w:rtl w:val="true"/>
        </w:rPr>
        <w:t>.</w:t>
      </w:r>
    </w:p>
    <w:p>
      <w:pPr>
        <w:pStyle w:val="NoSpacing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hyperlink r:id="rId2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שלום עכו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6532-03-14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רעד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3.7.2014</w:t>
      </w:r>
      <w:r>
        <w:rPr>
          <w:rtl w:val="true"/>
        </w:rPr>
        <w:t xml:space="preserve">), </w:t>
      </w:r>
      <w:r>
        <w:rPr>
          <w:rtl w:val="true"/>
        </w:rPr>
        <w:t>מדובר בנאשם צעיר בעל הרשעה קודמת אחת</w:t>
      </w:r>
      <w:r>
        <w:rPr>
          <w:rtl w:val="true"/>
        </w:rPr>
        <w:t xml:space="preserve">, </w:t>
      </w:r>
      <w:r>
        <w:rPr>
          <w:rtl w:val="true"/>
        </w:rPr>
        <w:t xml:space="preserve">אשר הורשע בהחזקת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רימוני הלם</w:t>
      </w:r>
      <w:r>
        <w:rPr>
          <w:rtl w:val="true"/>
        </w:rPr>
        <w:t xml:space="preserve">, </w:t>
      </w:r>
      <w:r>
        <w:rPr>
          <w:rtl w:val="true"/>
        </w:rPr>
        <w:t>מספר מחסניות וכמות גדולה של כדורים מסוגים שונים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גזר עליו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חודשי מאסר בפועל לצד עונשים נלווים</w:t>
      </w:r>
      <w:r>
        <w:rPr>
          <w:rtl w:val="true"/>
        </w:rPr>
        <w:t xml:space="preserve">. </w:t>
      </w:r>
    </w:p>
    <w:p>
      <w:pPr>
        <w:pStyle w:val="NoSpacing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hyperlink r:id="rId2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61087-12-18</w:t>
        </w:r>
      </w:hyperlink>
      <w:r>
        <w:rPr>
          <w:rtl w:val="true"/>
        </w:rPr>
        <w:t xml:space="preserve"> (</w:t>
      </w:r>
      <w:r>
        <w:rPr>
          <w:rtl w:val="true"/>
        </w:rPr>
        <w:t>מחוזי מרכז לוד</w:t>
      </w:r>
      <w:r>
        <w:rPr>
          <w:rtl w:val="true"/>
        </w:rPr>
        <w:t xml:space="preserve">)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מתאני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17.12.2019</w:t>
      </w:r>
      <w:r>
        <w:rPr>
          <w:rtl w:val="true"/>
        </w:rPr>
        <w:t xml:space="preserve">), </w:t>
      </w:r>
      <w:r>
        <w:rPr>
          <w:rtl w:val="true"/>
        </w:rPr>
        <w:t xml:space="preserve">מדובר בנאשם אשר החזיק בקיוסק באקדח טעון במחסנית עם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כדורים ולפני הגעת המשטרה נטל את האקדח והחזיקו על גופו</w:t>
      </w:r>
      <w:r>
        <w:rPr>
          <w:rtl w:val="true"/>
        </w:rPr>
        <w:t xml:space="preserve">. </w:t>
      </w:r>
      <w:r>
        <w:rPr>
          <w:rtl w:val="true"/>
        </w:rPr>
        <w:t>מדובר בנאשם צעיר ללא עבר פלילי ששירות המבחן המליץ להטיל עליו מאסר בדרך של עבודות שירות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קבע מתחם שנע בין </w:t>
      </w:r>
      <w:r>
        <w:rPr/>
        <w:t>9-24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והטיל עליו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 מאסר בפועל לצד ענישה נלווית</w:t>
      </w:r>
      <w:r>
        <w:rPr>
          <w:rtl w:val="true"/>
        </w:rPr>
        <w:t>.</w:t>
      </w:r>
    </w:p>
    <w:p>
      <w:pPr>
        <w:pStyle w:val="NoSpacing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hyperlink r:id="rId25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ג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 נצרת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21260-10-19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מזאריב </w:t>
      </w:r>
      <w:r>
        <w:rPr>
          <w:rtl w:val="true"/>
        </w:rPr>
        <w:t>(</w:t>
      </w:r>
      <w:r>
        <w:rPr/>
        <w:t>24.11.2019</w:t>
      </w:r>
      <w:r>
        <w:rPr>
          <w:rtl w:val="true"/>
        </w:rPr>
        <w:t xml:space="preserve">), </w:t>
      </w:r>
      <w:r>
        <w:rPr>
          <w:rtl w:val="true"/>
        </w:rPr>
        <w:t>בית המשפט המחוזי קבל את ערעור המדינה על קולת העונש שנגזר על נאשם אשר החזיק בתת מקלע מאולתר ולצדו מחסנית מלאה ב</w:t>
      </w:r>
      <w:r>
        <w:rPr>
          <w:rtl w:val="true"/>
        </w:rPr>
        <w:t>-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כדורים בתוך קופסה בארון בגדים נעול בחדר השינה</w:t>
      </w:r>
      <w:r>
        <w:rPr>
          <w:rtl w:val="true"/>
        </w:rPr>
        <w:t xml:space="preserve">. </w:t>
      </w:r>
      <w:r>
        <w:rPr>
          <w:rtl w:val="true"/>
        </w:rPr>
        <w:t>על הנאשם</w:t>
      </w:r>
      <w:r>
        <w:rPr>
          <w:rtl w:val="true"/>
        </w:rPr>
        <w:t xml:space="preserve">, </w:t>
      </w:r>
      <w:r>
        <w:rPr>
          <w:rtl w:val="true"/>
        </w:rPr>
        <w:t>שהינו צעיר נטול עבר פלילי</w:t>
      </w:r>
      <w:r>
        <w:rPr>
          <w:rtl w:val="true"/>
        </w:rPr>
        <w:t xml:space="preserve">, </w:t>
      </w:r>
      <w:r>
        <w:rPr>
          <w:rtl w:val="true"/>
        </w:rPr>
        <w:t>הוטל מאסר בדרך של עבודות שירות לצד ענישה נלווית משיקולי שיקום לאור התסקיר החיובי בעניינו</w:t>
      </w:r>
      <w:r>
        <w:rPr>
          <w:rtl w:val="true"/>
        </w:rPr>
        <w:t xml:space="preserve">. </w:t>
      </w:r>
      <w:r>
        <w:rPr>
          <w:rtl w:val="true"/>
        </w:rPr>
        <w:t>בית המשפט המחוזי החמיר את העונש ל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 מאסר בפועל וזאת מבלי למצות את הדין עמו</w:t>
      </w:r>
      <w:r>
        <w:rPr>
          <w:rtl w:val="true"/>
        </w:rPr>
        <w:t>.</w:t>
      </w:r>
    </w:p>
    <w:p>
      <w:pPr>
        <w:pStyle w:val="NoSpacing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hyperlink r:id="rId26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ג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 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52602-12-19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ריזק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27.2.2020</w:t>
      </w:r>
      <w:r>
        <w:rPr>
          <w:rtl w:val="true"/>
        </w:rPr>
        <w:t xml:space="preserve">), </w:t>
      </w:r>
      <w:r>
        <w:rPr>
          <w:rtl w:val="true"/>
        </w:rPr>
        <w:t>בית המשפט קבל את ערעור המדינה על קולת העונש שנגזר על נאשם שהחזיק באקדח עם מחסנית טעונה בכדורים</w:t>
      </w:r>
      <w:r>
        <w:rPr>
          <w:rtl w:val="true"/>
        </w:rPr>
        <w:t xml:space="preserve">, </w:t>
      </w:r>
      <w:r>
        <w:rPr>
          <w:rtl w:val="true"/>
        </w:rPr>
        <w:t>והמיר את המאסר בדרך של עבודות שירות ל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>וזאת תוך קביעה ברורה כי עונש זה אינו ממצה את הדין עם הנאשם</w:t>
      </w:r>
      <w:r>
        <w:rPr>
          <w:rtl w:val="true"/>
        </w:rPr>
        <w:t xml:space="preserve">. </w:t>
      </w:r>
    </w:p>
    <w:p>
      <w:pPr>
        <w:pStyle w:val="NoSpacing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5713/10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אקרמן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1.3.2011</w:t>
      </w:r>
      <w:r>
        <w:rPr>
          <w:rtl w:val="true"/>
        </w:rPr>
        <w:t xml:space="preserve">), </w:t>
      </w:r>
      <w:r>
        <w:rPr>
          <w:rtl w:val="true"/>
        </w:rPr>
        <w:t>הנאשם החזיק בלבנת חבלה המכילה כ</w:t>
      </w:r>
      <w:r>
        <w:rPr>
          <w:rtl w:val="true"/>
        </w:rPr>
        <w:t>-</w:t>
      </w:r>
      <w:r>
        <w:rPr/>
        <w:t>500</w:t>
      </w:r>
      <w:r>
        <w:rPr>
          <w:rtl w:val="true"/>
        </w:rPr>
        <w:t xml:space="preserve"> </w:t>
      </w:r>
      <w:r>
        <w:rPr>
          <w:rtl w:val="true"/>
        </w:rPr>
        <w:t>גרם חומר נפץ מרסק ואצבע חבלה המכילה כ</w:t>
      </w:r>
      <w:r>
        <w:rPr>
          <w:rtl w:val="true"/>
        </w:rPr>
        <w:t>-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גרם חומר נפץ מרסק</w:t>
      </w:r>
      <w:r>
        <w:rPr>
          <w:rtl w:val="true"/>
        </w:rPr>
        <w:t xml:space="preserve">, </w:t>
      </w:r>
      <w:r>
        <w:rPr>
          <w:rtl w:val="true"/>
        </w:rPr>
        <w:t>ובהמשך מסר את חומרי החבלה לאחר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המחוזי הטיל על הנאשם עונש של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, </w:t>
      </w:r>
      <w:r>
        <w:rPr>
          <w:rtl w:val="true"/>
        </w:rPr>
        <w:t xml:space="preserve">אולם בית המשפט העליון החליט להקל בעונש משיקולי שיקום ולהעמידו על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 מאסר בעבודות שירות</w:t>
      </w:r>
      <w:r>
        <w:rPr>
          <w:rtl w:val="true"/>
        </w:rPr>
        <w:t xml:space="preserve">. </w:t>
      </w:r>
    </w:p>
    <w:p>
      <w:pPr>
        <w:pStyle w:val="NoSpacing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 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4318-10-11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רפאילוב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5.1.2012</w:t>
      </w:r>
      <w:r>
        <w:rPr>
          <w:rtl w:val="true"/>
        </w:rPr>
        <w:t xml:space="preserve">), </w:t>
      </w:r>
      <w:r>
        <w:rPr>
          <w:rtl w:val="true"/>
        </w:rPr>
        <w:t xml:space="preserve">מדובר היה בנאשם אשר החזיק בביתו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לבנות חבלה</w:t>
      </w:r>
      <w:r>
        <w:rPr>
          <w:rtl w:val="true"/>
        </w:rPr>
        <w:t xml:space="preserve">, </w:t>
      </w:r>
      <w:r>
        <w:rPr/>
        <w:t>250</w:t>
      </w:r>
      <w:r>
        <w:rPr>
          <w:rtl w:val="true"/>
        </w:rPr>
        <w:t xml:space="preserve"> </w:t>
      </w:r>
      <w:r>
        <w:rPr>
          <w:rtl w:val="true"/>
        </w:rPr>
        <w:t>גרם כל אחת</w:t>
      </w:r>
      <w:r>
        <w:rPr>
          <w:rtl w:val="true"/>
        </w:rPr>
        <w:t xml:space="preserve">, </w:t>
      </w:r>
      <w:r>
        <w:rPr>
          <w:rtl w:val="true"/>
        </w:rPr>
        <w:t xml:space="preserve">המכילות חומר נפץ מסוג </w:t>
      </w:r>
      <w:r>
        <w:rPr/>
        <w:t>T.N.T</w:t>
      </w:r>
      <w:r>
        <w:rPr>
          <w:rtl w:val="true"/>
        </w:rPr>
        <w:t xml:space="preserve">, </w:t>
      </w:r>
      <w:r>
        <w:rPr>
          <w:rtl w:val="true"/>
        </w:rPr>
        <w:t>רימון יד עשן כחול</w:t>
      </w:r>
      <w:r>
        <w:rPr>
          <w:rtl w:val="true"/>
        </w:rPr>
        <w:t xml:space="preserve">, </w:t>
      </w:r>
      <w:r>
        <w:rPr>
          <w:rtl w:val="true"/>
        </w:rPr>
        <w:t>ורימון יד מדוכה גז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דחה את ערעור המדינה על קולת העונש והותיר על כנו עונש של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 מאסר בעבודות שירות</w:t>
      </w:r>
      <w:r>
        <w:rPr>
          <w:rtl w:val="true"/>
        </w:rPr>
        <w:t>.</w:t>
      </w:r>
    </w:p>
    <w:p>
      <w:pPr>
        <w:pStyle w:val="NoSpacing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hyperlink r:id="rId2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 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6059-02-12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גהגאה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19.4.2012</w:t>
      </w:r>
      <w:r>
        <w:rPr>
          <w:rtl w:val="true"/>
        </w:rPr>
        <w:t xml:space="preserve">), </w:t>
      </w:r>
      <w:r>
        <w:rPr>
          <w:rtl w:val="true"/>
        </w:rPr>
        <w:t>מדובר בנאשם שהחזיק בנשק ושתי מחסניות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דחה חלקית את ערעור המדינה על קולת העונש והותיר על כנו עונש של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 מאסר בעבודות שירות</w:t>
      </w:r>
      <w:r>
        <w:rPr>
          <w:rtl w:val="true"/>
        </w:rPr>
        <w:t xml:space="preserve">, </w:t>
      </w:r>
      <w:r>
        <w:rPr>
          <w:rtl w:val="true"/>
        </w:rPr>
        <w:t>אך החמיר ברכיב המאסר המותנה וברכיב הקנס</w:t>
      </w:r>
      <w:r>
        <w:rPr>
          <w:rtl w:val="true"/>
        </w:rPr>
        <w:t>.</w:t>
      </w:r>
    </w:p>
    <w:p>
      <w:pPr>
        <w:pStyle w:val="NoSpacing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 xml:space="preserve">פ </w:t>
      </w:r>
      <w:r>
        <w:rPr>
          <w:rtl w:val="true"/>
        </w:rPr>
        <w:t>(</w:t>
      </w:r>
      <w:r>
        <w:rPr>
          <w:rtl w:val="true"/>
        </w:rPr>
        <w:t>מחוזי חי</w:t>
      </w:r>
      <w:r>
        <w:rPr>
          <w:rtl w:val="true"/>
        </w:rPr>
        <w:t xml:space="preserve">') </w:t>
      </w:r>
      <w:hyperlink r:id="rId30">
        <w:r>
          <w:rPr>
            <w:rStyle w:val="Hyperlink"/>
            <w:color w:val="0000FF"/>
            <w:u w:val="single"/>
          </w:rPr>
          <w:t>9929-08-17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חוסין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26.10.2017</w:t>
      </w:r>
      <w:r>
        <w:rPr>
          <w:rtl w:val="true"/>
        </w:rPr>
        <w:t xml:space="preserve">), </w:t>
      </w:r>
      <w:r>
        <w:rPr>
          <w:rtl w:val="true"/>
        </w:rPr>
        <w:t xml:space="preserve">מדובר היה בנאשם אשר החזיק ברכבו באקדח מסוג </w:t>
      </w:r>
      <w:r>
        <w:rPr/>
        <w:t>C.Z</w:t>
      </w:r>
      <w:r>
        <w:rPr>
          <w:rtl w:val="true"/>
        </w:rPr>
        <w:t xml:space="preserve"> </w:t>
      </w:r>
      <w:r>
        <w:rPr>
          <w:rtl w:val="true"/>
        </w:rPr>
        <w:t xml:space="preserve">וכן במחסנית תואמת שהכילה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כדורי תחמושת</w:t>
      </w:r>
      <w:r>
        <w:rPr>
          <w:rtl w:val="true"/>
        </w:rPr>
        <w:t xml:space="preserve">. </w:t>
      </w:r>
      <w:r>
        <w:rPr>
          <w:rtl w:val="true"/>
        </w:rPr>
        <w:t>הנאשם החזיק בכל אלה משך שש שנים בשל חששו מאחרים עמם היה מסוכסך</w:t>
      </w:r>
      <w:r>
        <w:rPr>
          <w:rtl w:val="true"/>
        </w:rPr>
        <w:t xml:space="preserve">, </w:t>
      </w:r>
      <w:r>
        <w:rPr>
          <w:rtl w:val="true"/>
        </w:rPr>
        <w:t>ושינה את מקום מחבואם מעת לעת</w:t>
      </w:r>
      <w:r>
        <w:rPr>
          <w:rtl w:val="true"/>
        </w:rPr>
        <w:t xml:space="preserve">. </w:t>
      </w:r>
      <w:r>
        <w:rPr>
          <w:rtl w:val="true"/>
        </w:rPr>
        <w:t>הנאשם בעל הרשעה קודמת ישנה בעבירת נשק</w:t>
      </w:r>
      <w:r>
        <w:rPr>
          <w:rtl w:val="true"/>
        </w:rPr>
        <w:t xml:space="preserve">, </w:t>
      </w:r>
      <w:r>
        <w:rPr>
          <w:rtl w:val="true"/>
        </w:rPr>
        <w:t>והתסקיר בעניינו היה חיובי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דחה חלקית את ערעור המדינה על קולת העונש והותיר על כנו עונש של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 מאסר בעבודות שירות</w:t>
      </w:r>
      <w:r>
        <w:rPr>
          <w:rtl w:val="true"/>
        </w:rPr>
        <w:t xml:space="preserve">, </w:t>
      </w:r>
      <w:r>
        <w:rPr>
          <w:rtl w:val="true"/>
        </w:rPr>
        <w:t>משיקולי שיקום</w:t>
      </w:r>
      <w:r>
        <w:rPr>
          <w:rtl w:val="true"/>
        </w:rPr>
        <w:t xml:space="preserve">, </w:t>
      </w:r>
      <w:r>
        <w:rPr>
          <w:rtl w:val="true"/>
        </w:rPr>
        <w:t>אך החמיר ברכיב הקנס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  <w:lang w:val="en-US" w:eastAsia="en-US"/>
        </w:rPr>
      </w:pPr>
      <w:hyperlink r:id="rId31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שלום באר שבע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19417-11-16</w:t>
        </w:r>
      </w:hyperlink>
      <w:r>
        <w:rPr>
          <w:rFonts w:cs="Arial" w:ascii="Arial" w:hAnsi="Arial"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מדינת ישראל נ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'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אלקיעאן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cs="Arial" w:ascii="Arial" w:hAnsi="Arial"/>
          <w:lang w:val="en-US" w:eastAsia="en-US"/>
        </w:rPr>
        <w:t>16.1.2020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>הנאשם הורשע בהחזקת אקדח מסוג ברטה בצירוף מחסנית ובה כדורים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בית המשפט קבע כי מתחם העונש ההולם נע בין </w:t>
      </w:r>
      <w:r>
        <w:rPr>
          <w:rFonts w:cs="Arial" w:ascii="Arial" w:hAnsi="Arial"/>
          <w:lang w:val="en-US" w:eastAsia="en-US"/>
        </w:rPr>
        <w:t>15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עד  </w:t>
      </w:r>
      <w:r>
        <w:rPr>
          <w:rFonts w:cs="Arial" w:ascii="Arial" w:hAnsi="Arial"/>
          <w:lang w:val="en-US" w:eastAsia="en-US"/>
        </w:rPr>
        <w:t>30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 בפועל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אך לנוכח שירותו הצבאי של הנאשם והעדר הרשעות קודמות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בית המשפט השית עליו עונש על הרף הנמוך  והטיל עליו </w:t>
      </w:r>
      <w:r>
        <w:rPr>
          <w:rFonts w:cs="Arial" w:ascii="Arial" w:hAnsi="Arial"/>
          <w:lang w:val="en-US" w:eastAsia="en-US"/>
        </w:rPr>
        <w:t>15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 בפועל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Spacing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hyperlink r:id="rId3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שלום עכו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17925-07-19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אזי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3.5.2020</w:t>
      </w:r>
      <w:r>
        <w:rPr>
          <w:rtl w:val="true"/>
        </w:rPr>
        <w:t xml:space="preserve">) – </w:t>
      </w:r>
      <w:r>
        <w:rPr>
          <w:rtl w:val="true"/>
        </w:rPr>
        <w:t xml:space="preserve">הנאשם הורשע בהחזקת אקדח חצי אוטומטי מסוג </w:t>
      </w:r>
      <w:r>
        <w:rPr/>
        <w:t>CZ</w:t>
      </w:r>
      <w:r>
        <w:rPr>
          <w:rtl w:val="true"/>
        </w:rPr>
        <w:t xml:space="preserve"> </w:t>
      </w:r>
      <w:r>
        <w:rPr>
          <w:rtl w:val="true"/>
        </w:rPr>
        <w:t>ובתוכו מחסנית תואמת טעונה ב</w:t>
      </w:r>
      <w:r>
        <w:rPr>
          <w:rtl w:val="true"/>
        </w:rPr>
        <w:t>-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הנשק נתפס על גופו של הנאשם</w:t>
      </w:r>
      <w:r>
        <w:rPr>
          <w:rtl w:val="true"/>
        </w:rPr>
        <w:t xml:space="preserve">, </w:t>
      </w:r>
      <w:r>
        <w:rPr>
          <w:rtl w:val="true"/>
        </w:rPr>
        <w:t>צעיר נעדר עבר פלילי</w:t>
      </w:r>
      <w:r>
        <w:rPr>
          <w:rtl w:val="true"/>
        </w:rPr>
        <w:t xml:space="preserve">. </w:t>
      </w:r>
      <w:r>
        <w:rPr>
          <w:rtl w:val="true"/>
        </w:rPr>
        <w:t>בית המשפט גזר עליו מאסר בפועל ל</w:t>
      </w:r>
      <w:r>
        <w:rPr>
          <w:rtl w:val="true"/>
        </w:rPr>
        <w:t>-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חודשים לצד ענישה נלווית</w:t>
      </w:r>
      <w:r>
        <w:rPr>
          <w:rtl w:val="true"/>
        </w:rPr>
        <w:t xml:space="preserve">. </w:t>
      </w:r>
      <w:r>
        <w:rPr>
          <w:rtl w:val="true"/>
        </w:rPr>
        <w:t xml:space="preserve">ערעור הנאשם לבית המשפט המחוזי על חומרת העונש </w:t>
      </w:r>
      <w:r>
        <w:rPr>
          <w:rtl w:val="true"/>
        </w:rPr>
        <w:t>(</w:t>
      </w:r>
      <w:hyperlink r:id="rId33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ג </w:t>
        </w:r>
        <w:r>
          <w:rPr>
            <w:rStyle w:val="Hyperlink"/>
            <w:color w:val="0000FF"/>
            <w:u w:val="single"/>
          </w:rPr>
          <w:t>24796-04-20</w:t>
        </w:r>
      </w:hyperlink>
      <w:r>
        <w:rPr>
          <w:rtl w:val="true"/>
        </w:rPr>
        <w:t xml:space="preserve">) </w:t>
      </w:r>
      <w:r>
        <w:rPr>
          <w:rtl w:val="true"/>
        </w:rPr>
        <w:t>נדחה</w:t>
      </w:r>
      <w:r>
        <w:rPr>
          <w:rtl w:val="true"/>
        </w:rPr>
        <w:t xml:space="preserve">. </w:t>
      </w:r>
    </w:p>
    <w:p>
      <w:pPr>
        <w:pStyle w:val="NoSpacing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 xml:space="preserve">פ </w:t>
      </w:r>
      <w:r>
        <w:rPr>
          <w:rtl w:val="true"/>
        </w:rPr>
        <w:t>(</w:t>
      </w:r>
      <w:r>
        <w:rPr>
          <w:rtl w:val="true"/>
        </w:rPr>
        <w:t>מחוזי חיפה</w:t>
      </w:r>
      <w:r>
        <w:rPr>
          <w:rtl w:val="true"/>
        </w:rPr>
        <w:t xml:space="preserve">) </w:t>
      </w:r>
      <w:hyperlink r:id="rId34">
        <w:r>
          <w:rPr>
            <w:rStyle w:val="Hyperlink"/>
            <w:color w:val="0000FF"/>
            <w:u w:val="single"/>
          </w:rPr>
          <w:t>36573-01-18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מחאמיד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מדינת ישראל </w:t>
      </w:r>
      <w:r>
        <w:rPr>
          <w:rtl w:val="true"/>
        </w:rPr>
        <w:t>(</w:t>
      </w:r>
      <w:r>
        <w:rPr/>
        <w:t>7.2.2018</w:t>
      </w:r>
      <w:r>
        <w:rPr>
          <w:rtl w:val="true"/>
        </w:rPr>
        <w:t xml:space="preserve">), </w:t>
      </w:r>
      <w:r>
        <w:rPr>
          <w:rtl w:val="true"/>
        </w:rPr>
        <w:t>הנאשם החזיק בביתו בנשק מאולתר מסוג קרל גוסטב וכן במחסנית לתת מקלע עוזי טעונה בשני כדורים</w:t>
      </w:r>
      <w:r>
        <w:rPr>
          <w:rtl w:val="true"/>
        </w:rPr>
        <w:t xml:space="preserve">, </w:t>
      </w:r>
      <w:r>
        <w:rPr>
          <w:rtl w:val="true"/>
        </w:rPr>
        <w:t>מחסנית מאולתרת ריקה לנשק הנ</w:t>
      </w:r>
      <w:r>
        <w:rPr>
          <w:rtl w:val="true"/>
        </w:rPr>
        <w:t>"</w:t>
      </w:r>
      <w:r>
        <w:rPr>
          <w:rtl w:val="true"/>
        </w:rPr>
        <w:t xml:space="preserve">ל וכן קופסה המכילה </w:t>
      </w:r>
      <w:r>
        <w:rPr/>
        <w:t>34</w:t>
      </w:r>
      <w:r>
        <w:rPr>
          <w:rtl w:val="true"/>
        </w:rPr>
        <w:t xml:space="preserve"> </w:t>
      </w:r>
      <w:r>
        <w:rPr>
          <w:rtl w:val="true"/>
        </w:rPr>
        <w:t xml:space="preserve">כדורים של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המחוזי קבל את ערעור הנאשם על חומרת העונש שהוטל עליו בבית משפט השלום שכלל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 מאסר בפועל לצד ענישה נלווית</w:t>
      </w:r>
      <w:r>
        <w:rPr>
          <w:rtl w:val="true"/>
        </w:rPr>
        <w:t xml:space="preserve">, </w:t>
      </w:r>
      <w:r>
        <w:rPr>
          <w:rtl w:val="true"/>
        </w:rPr>
        <w:t xml:space="preserve">וגזר עליו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בדרך של עבודות שירות </w:t>
      </w:r>
      <w:r>
        <w:rPr>
          <w:rtl w:val="true"/>
        </w:rPr>
        <w:t>(</w:t>
      </w:r>
      <w:r>
        <w:rPr>
          <w:rtl w:val="true"/>
        </w:rPr>
        <w:t>ללא ניכוי תקופת מעצרו</w:t>
      </w:r>
      <w:r>
        <w:rPr>
          <w:rtl w:val="true"/>
        </w:rPr>
        <w:t xml:space="preserve">), </w:t>
      </w:r>
      <w:r>
        <w:rPr>
          <w:rtl w:val="true"/>
        </w:rPr>
        <w:t>וזאת משיקולי שיקום</w:t>
      </w:r>
      <w:r>
        <w:rPr>
          <w:rtl w:val="true"/>
        </w:rPr>
        <w:t>.</w:t>
      </w:r>
    </w:p>
    <w:p>
      <w:pPr>
        <w:pStyle w:val="NoSpacing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hyperlink r:id="rId3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שלום נצרת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6138-05-17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אבו 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בל ואח</w:t>
      </w:r>
      <w:r>
        <w:rPr>
          <w:b/>
          <w:bCs/>
          <w:rtl w:val="true"/>
        </w:rPr>
        <w:t xml:space="preserve">' </w:t>
      </w:r>
      <w:r>
        <w:rPr>
          <w:rtl w:val="true"/>
        </w:rPr>
        <w:t>(</w:t>
      </w:r>
      <w:r>
        <w:rPr/>
        <w:t>3.1.2019</w:t>
      </w:r>
      <w:r>
        <w:rPr>
          <w:rtl w:val="true"/>
        </w:rPr>
        <w:t xml:space="preserve">): </w:t>
      </w:r>
      <w:r>
        <w:rPr>
          <w:rtl w:val="true"/>
        </w:rPr>
        <w:t>מדובר בשלושה נאשמים שהורשעו בהחזקת נשק מאולתר מסוג קרלו בצוותא</w:t>
      </w:r>
      <w:r>
        <w:rPr>
          <w:rtl w:val="true"/>
        </w:rPr>
        <w:t xml:space="preserve">. </w:t>
      </w:r>
      <w:r>
        <w:rPr>
          <w:rtl w:val="true"/>
        </w:rPr>
        <w:t>הנאשמים נסעו יחדיו למטע זיתים וירו באקדח וכתוצאה מכך נפגע אחד הנאשמים ברגלו ונזקק לטיפול רפואי</w:t>
      </w:r>
      <w:r>
        <w:rPr>
          <w:rtl w:val="true"/>
        </w:rPr>
        <w:t xml:space="preserve">. </w:t>
      </w:r>
      <w:r>
        <w:rPr>
          <w:rtl w:val="true"/>
        </w:rPr>
        <w:t xml:space="preserve">מדובר היה בנאשמים צעירים נטולי עבר פלילי ובית המשפט קבע מתחם ענישה שנע בין </w:t>
      </w:r>
      <w:r>
        <w:rPr/>
        <w:t>6-20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לצד רכיבים נלווים וגזר על כל אחד מהם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 מאסר בדרך של עבודות שירות וענישה נלווית</w:t>
      </w:r>
      <w:r>
        <w:rPr>
          <w:rtl w:val="true"/>
        </w:rPr>
        <w:t xml:space="preserve">. </w:t>
      </w:r>
    </w:p>
    <w:p>
      <w:pPr>
        <w:pStyle w:val="NoSpacing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hyperlink r:id="rId36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ג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 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10502-07-21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קחלון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2.11.2021</w:t>
      </w:r>
      <w:r>
        <w:rPr>
          <w:rtl w:val="true"/>
        </w:rPr>
        <w:t xml:space="preserve">): </w:t>
      </w:r>
      <w:r>
        <w:rPr>
          <w:rtl w:val="true"/>
        </w:rPr>
        <w:t xml:space="preserve">הנאשם הורשע בהחזקת נשק מסוג </w:t>
      </w:r>
      <w:r>
        <w:rPr>
          <w:rtl w:val="true"/>
        </w:rPr>
        <w:t>'</w:t>
      </w:r>
      <w:r>
        <w:rPr>
          <w:rtl w:val="true"/>
        </w:rPr>
        <w:t>יריחו</w:t>
      </w:r>
      <w:r>
        <w:rPr>
          <w:rtl w:val="true"/>
        </w:rPr>
        <w:t xml:space="preserve">' </w:t>
      </w:r>
      <w:r>
        <w:rPr>
          <w:rtl w:val="true"/>
        </w:rPr>
        <w:t xml:space="preserve">ובתוכו מחסנית תואמת המכילה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 xml:space="preserve">כדורי תחמושת של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שהוסתרו במרפסת ביתו</w:t>
      </w:r>
      <w:r>
        <w:rPr>
          <w:rtl w:val="true"/>
        </w:rPr>
        <w:t xml:space="preserve">, </w:t>
      </w:r>
      <w:r>
        <w:rPr>
          <w:rtl w:val="true"/>
        </w:rPr>
        <w:t xml:space="preserve">ובית המשפט גזר עליו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 מאסר לריצוי בדרך של עבודות שירות</w:t>
      </w:r>
      <w:r>
        <w:rPr>
          <w:rtl w:val="true"/>
        </w:rPr>
        <w:t xml:space="preserve">. </w:t>
      </w:r>
      <w:r>
        <w:rPr>
          <w:rtl w:val="true"/>
        </w:rPr>
        <w:t>בית המשפט המחוזי קיבל בחלקו את ערעור המדינה על קולת העונש והמיר את רכיב המאסר בדרך של עבודות השירות ל</w:t>
      </w:r>
      <w:r>
        <w:rPr>
          <w:rtl w:val="true"/>
        </w:rPr>
        <w:t>-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. </w:t>
      </w:r>
    </w:p>
    <w:p>
      <w:pPr>
        <w:pStyle w:val="NoSpacing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Spacing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אשר לנסיבות הקשורות בביצוע העבירה – הנאשם החזיק בביתו באקדח ובתוכו מחסנית שיש בכוחו להמית אדם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וכן בקופסה שהכילה לא פחות מאשר </w:t>
      </w:r>
      <w:r>
        <w:rPr>
          <w:lang w:eastAsia="he-IL"/>
        </w:rPr>
        <w:t>44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כדורים</w:t>
      </w:r>
      <w:r>
        <w:rPr>
          <w:rtl w:val="true"/>
          <w:lang w:eastAsia="he-IL"/>
        </w:rPr>
        <w:t xml:space="preserve">. </w:t>
      </w:r>
    </w:p>
    <w:p>
      <w:pPr>
        <w:pStyle w:val="NoSpacing"/>
        <w:ind w:end="0"/>
        <w:jc w:val="start"/>
        <w:rPr>
          <w:rFonts w:cs="Arial"/>
          <w:sz w:val="22"/>
          <w:szCs w:val="22"/>
          <w:lang w:eastAsia="he-IL"/>
        </w:rPr>
      </w:pPr>
      <w:r>
        <w:rPr>
          <w:rFonts w:cs="Arial"/>
          <w:sz w:val="22"/>
          <w:szCs w:val="22"/>
          <w:rtl w:val="true"/>
          <w:lang w:eastAsia="he-IL"/>
        </w:rPr>
      </w:r>
    </w:p>
    <w:p>
      <w:pPr>
        <w:pStyle w:val="NoSpacing"/>
        <w:spacing w:lineRule="auto" w:line="360"/>
        <w:ind w:end="0"/>
        <w:jc w:val="both"/>
        <w:rPr>
          <w:rFonts w:ascii="Calibri" w:hAnsi="Calibri" w:cs="Calibri"/>
        </w:rPr>
      </w:pPr>
      <w:r>
        <w:rPr>
          <w:rtl w:val="true"/>
        </w:rPr>
        <w:t>בשים לב למכלול הנתונים</w:t>
      </w:r>
      <w:r>
        <w:rPr>
          <w:rtl w:val="true"/>
        </w:rPr>
        <w:t xml:space="preserve">, </w:t>
      </w:r>
      <w:r>
        <w:rPr>
          <w:rtl w:val="true"/>
        </w:rPr>
        <w:t>לרבות סוג הנשק וכמות התחמושת</w:t>
      </w:r>
      <w:r>
        <w:rPr>
          <w:rtl w:val="true"/>
        </w:rPr>
        <w:t xml:space="preserve">, </w:t>
      </w:r>
      <w:r>
        <w:rPr>
          <w:rtl w:val="true"/>
        </w:rPr>
        <w:t>פוטנציאל הנזק והפסיקה הנוהגת</w:t>
      </w:r>
      <w:r>
        <w:rPr>
          <w:rtl w:val="true"/>
        </w:rPr>
        <w:t xml:space="preserve">, </w:t>
      </w:r>
      <w:r>
        <w:rPr>
          <w:rtl w:val="true"/>
        </w:rPr>
        <w:t xml:space="preserve">אני קובעת שמתחם העונש ההולם נע בין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 ל</w:t>
      </w:r>
      <w:r>
        <w:rPr>
          <w:rtl w:val="true"/>
        </w:rPr>
        <w:t>-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 מאסר בפועל לצד רכיבי ענישה נלווים</w:t>
      </w:r>
      <w:r>
        <w:rPr>
          <w:rtl w:val="true"/>
        </w:rPr>
        <w:t>.</w:t>
      </w:r>
    </w:p>
    <w:p>
      <w:pPr>
        <w:pStyle w:val="NoSpacing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Spacing"/>
        <w:spacing w:lineRule="auto" w:line="360"/>
        <w:ind w:end="0"/>
        <w:jc w:val="both"/>
        <w:rPr/>
      </w:pPr>
      <w:r>
        <w:rPr>
          <w:rtl w:val="true"/>
        </w:rPr>
        <w:t>אעבור כעת לבחינת הנסיבות שאינן קשורות לביצוע העבירה</w:t>
      </w:r>
      <w:r>
        <w:rPr>
          <w:rtl w:val="true"/>
        </w:rPr>
        <w:t>.</w:t>
      </w:r>
    </w:p>
    <w:p>
      <w:pPr>
        <w:pStyle w:val="NoSpacing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הינו נשוי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אב לילדים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בן </w:t>
      </w:r>
      <w:r>
        <w:rPr>
          <w:rFonts w:cs="Arial" w:ascii="Arial" w:hAnsi="Arial"/>
        </w:rPr>
        <w:t>52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הודה במיוחס לו שלא במסגרת הסדר ובכך חסך מזמנו של בית המשפט ומזמנם של העדים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eastAsia="Arial" w:cs="Arial" w:ascii="Arial" w:hAnsi="Arial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 xml:space="preserve">לנאשם הרשעות קודמות בעבירות לפי </w:t>
      </w:r>
      <w:hyperlink r:id="rId3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התכנון והבניה</w:t>
        </w:r>
      </w:hyperlink>
      <w:r>
        <w:rPr>
          <w:rFonts w:ascii="Arial" w:hAnsi="Arial" w:cs="Arial"/>
          <w:rtl w:val="true"/>
        </w:rPr>
        <w:t xml:space="preserve"> ובעבירה של השתתפות בתגרה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ומכאן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שעברו הפלילי טרם ביצוע העבירות בתיק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היה מכביד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אולם לאחרונה הורשע הנאשם בבית המשפט המחוזי בעבירות נשק חמורות של ניסיון לבצע עסקה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ניסיון לסחר בנשק וקשירת קשר לביצוע פשע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בדבריו לבית המשפט בתום שמיעת הטיעונים לעונש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הנאשם ביקש להקל בעונשו לאור כך שהוא מרצה כעת עונש מאסר </w:t>
      </w:r>
      <w:r>
        <w:rPr>
          <w:rFonts w:ascii="Arial" w:hAnsi="Arial" w:cs="Arial"/>
          <w:rtl w:val="true"/>
        </w:rPr>
        <w:t xml:space="preserve">בתיק </w:t>
      </w:r>
      <w:r>
        <w:rPr>
          <w:rFonts w:ascii="Arial" w:hAnsi="Arial" w:cs="Arial"/>
          <w:rtl w:val="true"/>
        </w:rPr>
        <w:t>אחר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ומבלי להביע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 xml:space="preserve">ולו מילולית בלבד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חרטה על מעשיו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בעניינו של הנאשם הוגש תסקיר מטעם שירות המבחן לעניין העונש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התסקיר לא בא בהמלצה טיפולית נוכח עמדתו המצמצמת של הנאשם לגבי חומרת מעשיו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ושירות המבחן המליץ על הטלת ענישה חיצונית מוחשית ובעלת גבולות ברורים העשויה לחדד עבורו גבולות החוק ואת חומרת מעשיו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בהקשר זה קשה להתעלם מהתחזית הקודרת של שירות המבחן לגבי הסיכון שנותר אצל הנאשם להסתבכותו העתידית בפלילים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ותעיד על כך הרשעתו המאוחרת בבית המשפט המחוזי בעבירות נשק חמורות יותר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שהורשע כבר בעבירות הנשק נשוא תיק זה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בכל אופן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מקרה זה אינו מצביע על שיקולי שיקום כלשהם אשר מצדיקים חריגה לקולה ממתחם העונש ההולם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לצורך קביעת העונש הראוי בתוך המתחם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לקחתי בחשבון את כלל השיקולים עליהם עמדתי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לרבות הנסיבות שאינן קשורות לביצוע העבירה</w:t>
      </w:r>
      <w:r>
        <w:rPr>
          <w:rFonts w:ascii="Arial" w:hAnsi="Arial" w:cs="Arial"/>
          <w:rtl w:val="true"/>
        </w:rPr>
        <w:t xml:space="preserve"> וכן התסקיר השלילי שהוגש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כל אלה מצדיקים העמדת העונש הראוי שלא על הצד הנמוך של המתחם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קרוב יותר לאמצע המתחם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לא אסיים מבלי להתעכב על טענת ההגנה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הנאשם נותן כבר את הדין על העבירות נשוא תיק זה עת החמיר בית המשפט המחוזי את עונשו שם – לעומת העונשים שהוטלו על מעורבים אחרים – </w:t>
      </w:r>
      <w:r>
        <w:rPr>
          <w:rFonts w:ascii="Arial" w:hAnsi="Arial" w:cs="Arial"/>
          <w:rtl w:val="true"/>
        </w:rPr>
        <w:t>בעבירות הנשק בהן הורשע 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נוכח הרשעתו בעבירות נשק בתיק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באופן שהביא להחמרת הענישה בתיק 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ובכן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קראתי בעיון את גזר דינו של בית המשפט המחוזי בחיפה מיום </w:t>
      </w:r>
      <w:r>
        <w:rPr>
          <w:rFonts w:cs="Arial" w:ascii="Arial" w:hAnsi="Arial"/>
        </w:rPr>
        <w:t>27.1.2021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ב</w:t>
      </w:r>
      <w:hyperlink r:id="rId3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תיק פלילי </w:t>
        </w:r>
        <w:r>
          <w:rPr>
            <w:rStyle w:val="Hyperlink"/>
            <w:rFonts w:cs="Arial" w:ascii="Arial" w:hAnsi="Arial"/>
            <w:color w:val="0000FF"/>
            <w:u w:val="single"/>
          </w:rPr>
          <w:t>4676-01-20</w:t>
        </w:r>
      </w:hyperlink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ולא שוכנעתי לקבל את הטענה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בכל הכבוד והצניעות אומר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בצדק לקח בית המשפט המחוזי בחשבון לחומרה את הרשעתו של הנאשם בתיק זה בהיותה הרשעה 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קודמת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בעבירות נשק אותן ביצע הנאשם קודם לביצוע עבירות הנשק שיוחסו לו בבית המשפט המחוזי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ומבלי להירתע מהעובדה כי ביצע את העבירות המאוחרות בזמן שתלוי ועומד כנגדו ההליך דנן בגין עבירות נשק אחרות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לצורך גזירת העונש בתיק זה אבקש להבהיר כי הרשעתו המאוחרת של הנאשם בעבירות נשק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בבית המשפט המחוזי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אינה בגדר 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הרשעה קודמת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המהווה נסיבה לחומרה לצורך קביעת העונש בתוך המתחם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ברם היא אינדיקציה שמחזקת את התרשמות ומסקנת שירות המבחן לגבי הפרוגנוזה השלילית בעניינו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לסיום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הסנגור טען כי אם יוטל על הנאשם מאסר שלא בחופף לעונש המאסר שהוא מרצה כעת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לא יזכה הנאשם לניכוי מנהלי לאור כך שתקופת המאסר שהוטלה עליו בבית המשפט המחוזי עמדה על </w:t>
      </w:r>
      <w:r>
        <w:rPr>
          <w:rFonts w:cs="Arial" w:ascii="Arial" w:hAnsi="Arial"/>
        </w:rPr>
        <w:t>48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וכל תוספת אליה לא תזכה אותו בשחרור מוקדם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בהתייחס לטענה זו אבקש להבהיר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סוגיית הניכוי המנהלי מעונשי מאסר ששב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ס עורך נסמכת על סמכותו המעוגנת </w:t>
      </w:r>
      <w:r>
        <w:rPr>
          <w:rFonts w:ascii="Arial" w:hAnsi="Arial" w:cs="Arial"/>
          <w:b/>
          <w:b/>
          <w:bCs/>
          <w:rtl w:val="true"/>
        </w:rPr>
        <w:t>ב</w:t>
      </w:r>
      <w:hyperlink r:id="rId39"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>פקודת בתי הסוהר</w:t>
        </w:r>
      </w:hyperlink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נוסח חדש</w:t>
      </w:r>
      <w:r>
        <w:rPr>
          <w:rFonts w:cs="Arial" w:ascii="Arial" w:hAnsi="Arial"/>
          <w:b/>
          <w:bCs/>
          <w:rtl w:val="true"/>
        </w:rPr>
        <w:t xml:space="preserve">), </w:t>
      </w:r>
      <w:r>
        <w:rPr>
          <w:rFonts w:ascii="Arial" w:hAnsi="Arial" w:cs="Arial"/>
          <w:b/>
          <w:b/>
          <w:bCs/>
          <w:rtl w:val="true"/>
        </w:rPr>
        <w:t>תשל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ב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cs="Arial" w:ascii="Arial" w:hAnsi="Arial"/>
          <w:b/>
          <w:bCs/>
        </w:rPr>
        <w:t>1971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והיא אינה שיקול שעל בית המשפט לקחת בחשבון לצורך גזירת העונש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ובפרט שמדובר בניכויים המתבססים על פרמטרים משתנים הקשורים בנתוני הכליאה</w:t>
      </w:r>
      <w:r>
        <w:rPr>
          <w:rFonts w:cs="Arial" w:ascii="Arial" w:hAnsi="Arial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ולכן ש</w:t>
      </w:r>
      <w:r>
        <w:rPr>
          <w:rFonts w:ascii="David" w:hAnsi="David"/>
          <w:color w:val="000000"/>
          <w:rtl w:val="true"/>
        </w:rPr>
        <w:t>חרורו של אסיר טרם זמנו במסגרת שחרור מנהלי אינו מהווה זכות מהותית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אלא הנאה עקיפה ממחסור מערכתי נקודתי במקומות כליאה לאסירים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כך או כך וזה העיקר לענייננו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סוגיית הניכוי המנהלי אינה </w:t>
      </w:r>
      <w:r>
        <w:rPr>
          <w:rFonts w:ascii="Arial" w:hAnsi="Arial" w:cs="Arial"/>
          <w:rtl w:val="true"/>
        </w:rPr>
        <w:t xml:space="preserve">חלק מהעקרונות והשיקולים המנחים בענישה לצורך הבניית שיקול הדעת השיפוטי בענישה לפי פרק </w:t>
      </w:r>
      <w:hyperlink r:id="rId40">
        <w:r>
          <w:rPr>
            <w:rStyle w:val="Hyperlink"/>
            <w:rFonts w:ascii="Arial" w:hAnsi="Arial" w:cs="Arial"/>
            <w:rtl w:val="true"/>
          </w:rPr>
          <w:t>ו</w:t>
        </w:r>
        <w:r>
          <w:rPr>
            <w:rStyle w:val="Hyperlink"/>
            <w:rFonts w:cs="Arial" w:ascii="Arial" w:hAnsi="Arial"/>
            <w:rtl w:val="true"/>
          </w:rPr>
          <w:t xml:space="preserve">' </w:t>
        </w:r>
        <w:r>
          <w:rPr>
            <w:rStyle w:val="Hyperlink"/>
            <w:rFonts w:ascii="Arial" w:hAnsi="Arial" w:cs="Arial"/>
            <w:rtl w:val="true"/>
          </w:rPr>
          <w:t>סימן א</w:t>
        </w:r>
        <w:r>
          <w:rPr>
            <w:rStyle w:val="Hyperlink"/>
            <w:rFonts w:cs="Arial" w:ascii="Arial" w:hAnsi="Arial"/>
            <w:rtl w:val="true"/>
          </w:rPr>
          <w:t>'</w:t>
        </w:r>
        <w:r>
          <w:rPr>
            <w:rStyle w:val="Hyperlink"/>
            <w:rFonts w:cs="Arial" w:ascii="Arial" w:hAnsi="Arial"/>
          </w:rPr>
          <w:t>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4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מכל מקום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הטלת עונש מאסר בחופף לעונש המאסר שהנאשם מרצה כעת מרוקנת מתוכן את העונש שמן הראוי כי יוטל עליו בגין העבירות בהן הורשע בתיק זה ותחטיא את מדיניות הענישה בעבירות נשק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Spacing"/>
        <w:spacing w:lineRule="auto" w:line="360"/>
        <w:ind w:end="0"/>
        <w:jc w:val="both"/>
        <w:rPr/>
      </w:pP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>אני גוזרת על הנאשם את העונשים הבאים</w:t>
      </w:r>
      <w:r>
        <w:rPr>
          <w:rtl w:val="true"/>
        </w:rPr>
        <w:t>:</w:t>
      </w:r>
    </w:p>
    <w:p>
      <w:pPr>
        <w:pStyle w:val="NoSpacing"/>
        <w:numPr>
          <w:ilvl w:val="0"/>
          <w:numId w:val="2"/>
        </w:numPr>
        <w:spacing w:lineRule="auto" w:line="360"/>
        <w:ind w:hanging="720" w:start="1440" w:end="0"/>
        <w:jc w:val="both"/>
        <w:rPr/>
      </w:pPr>
      <w:r>
        <w:rPr>
          <w:rtl w:val="true"/>
        </w:rPr>
        <w:t xml:space="preserve">מאסר לתקופה של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 xml:space="preserve">חודשים בניכוי ימי מעצרו מיום </w:t>
      </w:r>
      <w:r>
        <w:rPr/>
        <w:t>30.7.2019</w:t>
      </w:r>
      <w:r>
        <w:rPr>
          <w:rtl w:val="true"/>
        </w:rPr>
        <w:t xml:space="preserve"> </w:t>
      </w:r>
      <w:r>
        <w:rPr>
          <w:rtl w:val="true"/>
        </w:rPr>
        <w:t xml:space="preserve">ועד ליום </w:t>
      </w:r>
      <w:r>
        <w:rPr/>
        <w:t>8.8.2019</w:t>
      </w:r>
      <w:r>
        <w:rPr>
          <w:rtl w:val="true"/>
        </w:rPr>
        <w:t xml:space="preserve">, </w:t>
      </w:r>
      <w:r>
        <w:rPr>
          <w:rtl w:val="true"/>
        </w:rPr>
        <w:t>אשר ירוצה במצטבר לעונש המאסר שהנאשם מרצה כעת בגין הרשעתו ב</w:t>
      </w:r>
      <w:hyperlink r:id="rId4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4676-01-20</w:t>
        </w:r>
      </w:hyperlink>
      <w:r>
        <w:rPr>
          <w:rtl w:val="true"/>
        </w:rPr>
        <w:t xml:space="preserve"> </w:t>
      </w:r>
      <w:r>
        <w:rPr>
          <w:rtl w:val="true"/>
        </w:rPr>
        <w:t>מבית משפט המחוזי בחיפה</w:t>
      </w:r>
      <w:r>
        <w:rPr>
          <w:rtl w:val="true"/>
        </w:rPr>
        <w:t>.</w:t>
      </w:r>
    </w:p>
    <w:p>
      <w:pPr>
        <w:pStyle w:val="NoSpacing"/>
        <w:numPr>
          <w:ilvl w:val="0"/>
          <w:numId w:val="2"/>
        </w:numPr>
        <w:spacing w:lineRule="auto" w:line="360"/>
        <w:ind w:hanging="720" w:start="1440" w:end="0"/>
        <w:jc w:val="both"/>
        <w:rPr/>
      </w:pPr>
      <w:r>
        <w:rPr>
          <w:rtl w:val="true"/>
        </w:rPr>
        <w:t xml:space="preserve">מאסר על תנאי של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 למשך שלוש שנים מיום שחרורו ממאסר</w:t>
      </w:r>
      <w:r>
        <w:rPr>
          <w:rtl w:val="true"/>
        </w:rPr>
        <w:t xml:space="preserve">, </w:t>
      </w:r>
      <w:r>
        <w:rPr>
          <w:rtl w:val="true"/>
        </w:rPr>
        <w:t>והתנאי הוא כי הנאשם לא יבצע בתקופה זו עבירת נשק מסוג פשע</w:t>
      </w:r>
      <w:r>
        <w:rPr>
          <w:rtl w:val="true"/>
        </w:rPr>
        <w:t xml:space="preserve">, </w:t>
      </w:r>
      <w:r>
        <w:rPr>
          <w:rtl w:val="true"/>
        </w:rPr>
        <w:t>ויורשע בגינה</w:t>
      </w:r>
      <w:r>
        <w:rPr>
          <w:rtl w:val="true"/>
        </w:rPr>
        <w:t>.</w:t>
      </w:r>
    </w:p>
    <w:p>
      <w:pPr>
        <w:pStyle w:val="NoSpacing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 xml:space="preserve">מאסר על תנאי של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 למשך שלוש שנים מיום שחרורו ממאסר</w:t>
      </w:r>
      <w:r>
        <w:rPr>
          <w:rtl w:val="true"/>
        </w:rPr>
        <w:t xml:space="preserve">, </w:t>
      </w:r>
      <w:r>
        <w:rPr>
          <w:rtl w:val="true"/>
        </w:rPr>
        <w:t>והתנאי הוא כי הנאשם לא יבצע בתקופה זו עבירת נשק מסוג עוון</w:t>
      </w:r>
      <w:r>
        <w:rPr>
          <w:rtl w:val="true"/>
        </w:rPr>
        <w:t xml:space="preserve">, </w:t>
      </w:r>
      <w:r>
        <w:rPr>
          <w:rtl w:val="true"/>
        </w:rPr>
        <w:t>ויורשע בגינה</w:t>
      </w:r>
      <w:r>
        <w:rPr>
          <w:rtl w:val="true"/>
        </w:rPr>
        <w:t>.</w:t>
      </w:r>
    </w:p>
    <w:p>
      <w:pPr>
        <w:pStyle w:val="NoSpacing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Spacing"/>
        <w:spacing w:lineRule="auto" w:line="360"/>
        <w:ind w:end="0"/>
        <w:jc w:val="both"/>
        <w:rPr/>
      </w:pPr>
      <w:r>
        <w:rPr>
          <w:rtl w:val="true"/>
        </w:rPr>
        <w:t>לסיום</w:t>
      </w:r>
      <w:r>
        <w:rPr>
          <w:rtl w:val="true"/>
        </w:rPr>
        <w:t xml:space="preserve">, </w:t>
      </w:r>
      <w:r>
        <w:rPr>
          <w:rtl w:val="true"/>
        </w:rPr>
        <w:t>לאור עונש המאסר</w:t>
      </w:r>
      <w:r>
        <w:rPr>
          <w:rtl w:val="true"/>
        </w:rPr>
        <w:t xml:space="preserve">, </w:t>
      </w:r>
      <w:r>
        <w:rPr>
          <w:rtl w:val="true"/>
        </w:rPr>
        <w:t>ראיתי לנכון שלא להטיל על הנאשם קנס</w:t>
      </w:r>
      <w:r>
        <w:rPr>
          <w:rtl w:val="true"/>
        </w:rPr>
        <w:t>.</w:t>
      </w:r>
    </w:p>
    <w:p>
      <w:pPr>
        <w:pStyle w:val="NoSpacing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לעניין המוצגים – לשיקול דעת הקצין הממונה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color w:val="FFFFFF"/>
          <w:sz w:val="2"/>
          <w:szCs w:val="2"/>
        </w:rPr>
        <w:t>5129371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6"/>
          <w:szCs w:val="26"/>
        </w:rPr>
      </w:pPr>
      <w:r>
        <w:rPr>
          <w:rFonts w:cs="Arial" w:ascii="Arial" w:hAnsi="Arial"/>
          <w:b/>
          <w:bCs/>
          <w:color w:val="FFFFFF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bookmarkStart w:id="11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ו אדר א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27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פברואר </w:t>
      </w:r>
      <w:r>
        <w:rPr>
          <w:rFonts w:cs="Arial" w:ascii="Arial" w:hAnsi="Arial"/>
          <w:b/>
          <w:bCs/>
          <w:sz w:val="26"/>
          <w:szCs w:val="26"/>
        </w:rPr>
        <w:t>2022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1"/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3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ג</w:t>
      </w:r>
      <w:r>
        <w:rPr>
          <w:rFonts w:cs="David" w:ascii="David" w:hAnsi="David"/>
          <w:color w:val="000000"/>
          <w:sz w:val="22"/>
          <w:szCs w:val="22"/>
          <w:rtl w:val="true"/>
        </w:rPr>
        <w:t>'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ני טנוס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44"/>
      <w:footerReference w:type="default" r:id="rId45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עכו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14786-08-19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פריד אסמאעיל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end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0"/>
        </w:tabs>
        <w:ind w:start="1440" w:hanging="720"/>
      </w:p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2z0">
    <w:name w:val="WW8Num2z0"/>
    <w:qFormat/>
    <w:rPr>
      <w:rFonts w:ascii="Symbol" w:hAnsi="Symbol" w:eastAsia="Times New Roman" w:cs="David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NoSpacing">
    <w:name w:val="No Spacing"/>
    <w:qFormat/>
    <w:pPr>
      <w:widowControl/>
      <w:bidi w:val="1"/>
      <w:ind w:hanging="0" w:start="0" w:end="0"/>
      <w:jc w:val="start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>
      <w:lang w:val="en-IL" w:eastAsia="en-IL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fCa(1)S" TargetMode="External"/><Relationship Id="rId5" Type="http://schemas.openxmlformats.org/officeDocument/2006/relationships/hyperlink" Target="http://www.nevo.co.il/law/91073" TargetMode="External"/><Relationship Id="rId6" Type="http://schemas.openxmlformats.org/officeDocument/2006/relationships/hyperlink" Target="http://www.nevo.co.il/law/75015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144.a" TargetMode="External"/><Relationship Id="rId10" Type="http://schemas.openxmlformats.org/officeDocument/2006/relationships/hyperlink" Target="http://www.nevo.co.il/law/91073" TargetMode="External"/><Relationship Id="rId11" Type="http://schemas.openxmlformats.org/officeDocument/2006/relationships/hyperlink" Target="http://www.nevo.co.il/case/5958231" TargetMode="External"/><Relationship Id="rId12" Type="http://schemas.openxmlformats.org/officeDocument/2006/relationships/hyperlink" Target="http://www.nevo.co.il/case/22006503" TargetMode="External"/><Relationship Id="rId13" Type="http://schemas.openxmlformats.org/officeDocument/2006/relationships/hyperlink" Target="http://www.nevo.co.il/case/25824863" TargetMode="External"/><Relationship Id="rId14" Type="http://schemas.openxmlformats.org/officeDocument/2006/relationships/hyperlink" Target="http://www.nevo.co.il/case/25940943" TargetMode="External"/><Relationship Id="rId15" Type="http://schemas.openxmlformats.org/officeDocument/2006/relationships/hyperlink" Target="http://www.nevo.co.il/case/17954222" TargetMode="External"/><Relationship Id="rId16" Type="http://schemas.openxmlformats.org/officeDocument/2006/relationships/hyperlink" Target="http://www.nevo.co.il/case/25520167" TargetMode="External"/><Relationship Id="rId17" Type="http://schemas.openxmlformats.org/officeDocument/2006/relationships/hyperlink" Target="http://www.nevo.co.il/case/27648787" TargetMode="External"/><Relationship Id="rId18" Type="http://schemas.openxmlformats.org/officeDocument/2006/relationships/hyperlink" Target="http://www.nevo.co.il/case/5950172" TargetMode="External"/><Relationship Id="rId19" Type="http://schemas.openxmlformats.org/officeDocument/2006/relationships/hyperlink" Target="http://www.nevo.co.il/case/18090902" TargetMode="External"/><Relationship Id="rId20" Type="http://schemas.openxmlformats.org/officeDocument/2006/relationships/hyperlink" Target="http://www.nevo.co.il/case/4338062" TargetMode="External"/><Relationship Id="rId21" Type="http://schemas.openxmlformats.org/officeDocument/2006/relationships/hyperlink" Target="http://www.nevo.co.il/case/6024035" TargetMode="External"/><Relationship Id="rId22" Type="http://schemas.openxmlformats.org/officeDocument/2006/relationships/hyperlink" Target="http://www.nevo.co.il/case/4234303" TargetMode="External"/><Relationship Id="rId23" Type="http://schemas.openxmlformats.org/officeDocument/2006/relationships/hyperlink" Target="http://www.nevo.co.il/case/13030651" TargetMode="External"/><Relationship Id="rId24" Type="http://schemas.openxmlformats.org/officeDocument/2006/relationships/hyperlink" Target="http://www.nevo.co.il/case/25263974" TargetMode="External"/><Relationship Id="rId25" Type="http://schemas.openxmlformats.org/officeDocument/2006/relationships/hyperlink" Target="http://www.nevo.co.il/case/26103748" TargetMode="External"/><Relationship Id="rId26" Type="http://schemas.openxmlformats.org/officeDocument/2006/relationships/hyperlink" Target="http://www.nevo.co.il/case/26294158" TargetMode="External"/><Relationship Id="rId27" Type="http://schemas.openxmlformats.org/officeDocument/2006/relationships/hyperlink" Target="http://www.nevo.co.il/case/5678001" TargetMode="External"/><Relationship Id="rId28" Type="http://schemas.openxmlformats.org/officeDocument/2006/relationships/hyperlink" Target="http://www.nevo.co.il/case/2894643" TargetMode="External"/><Relationship Id="rId29" Type="http://schemas.openxmlformats.org/officeDocument/2006/relationships/hyperlink" Target="http://www.nevo.co.il/case/4258499" TargetMode="External"/><Relationship Id="rId30" Type="http://schemas.openxmlformats.org/officeDocument/2006/relationships/hyperlink" Target="http://www.nevo.co.il/case/22897331" TargetMode="External"/><Relationship Id="rId31" Type="http://schemas.openxmlformats.org/officeDocument/2006/relationships/hyperlink" Target="http://www.nevo.co.il/case/21567481" TargetMode="External"/><Relationship Id="rId32" Type="http://schemas.openxmlformats.org/officeDocument/2006/relationships/hyperlink" Target="http://www.nevo.co.il/case/25846689" TargetMode="External"/><Relationship Id="rId33" Type="http://schemas.openxmlformats.org/officeDocument/2006/relationships/hyperlink" Target="http://www.nevo.co.il/case/26612098" TargetMode="External"/><Relationship Id="rId34" Type="http://schemas.openxmlformats.org/officeDocument/2006/relationships/hyperlink" Target="http://www.nevo.co.il/case/23553050" TargetMode="External"/><Relationship Id="rId35" Type="http://schemas.openxmlformats.org/officeDocument/2006/relationships/hyperlink" Target="http://www.nevo.co.il/case/22586171" TargetMode="External"/><Relationship Id="rId36" Type="http://schemas.openxmlformats.org/officeDocument/2006/relationships/hyperlink" Target="http://www.nevo.co.il/case/27761883" TargetMode="External"/><Relationship Id="rId37" Type="http://schemas.openxmlformats.org/officeDocument/2006/relationships/hyperlink" Target="http://www.nevo.co.il/law/91073" TargetMode="External"/><Relationship Id="rId38" Type="http://schemas.openxmlformats.org/officeDocument/2006/relationships/hyperlink" Target="http://www.nevo.co.il/case/26327814" TargetMode="External"/><Relationship Id="rId39" Type="http://schemas.openxmlformats.org/officeDocument/2006/relationships/hyperlink" Target="http://www.nevo.co.il/law/75015" TargetMode="External"/><Relationship Id="rId40" Type="http://schemas.openxmlformats.org/officeDocument/2006/relationships/hyperlink" Target="http://www.nevo.co.il/law/70301/fCa(1)S" TargetMode="External"/><Relationship Id="rId41" Type="http://schemas.openxmlformats.org/officeDocument/2006/relationships/hyperlink" Target="http://www.nevo.co.il/law/70301" TargetMode="External"/><Relationship Id="rId42" Type="http://schemas.openxmlformats.org/officeDocument/2006/relationships/hyperlink" Target="http://www.nevo.co.il/case/26327814" TargetMode="External"/><Relationship Id="rId43" Type="http://schemas.openxmlformats.org/officeDocument/2006/relationships/hyperlink" Target="http://www.nevo.co.il/advertisements/nevo-100.doc" TargetMode="External"/><Relationship Id="rId44" Type="http://schemas.openxmlformats.org/officeDocument/2006/relationships/header" Target="header1.xml"/><Relationship Id="rId45" Type="http://schemas.openxmlformats.org/officeDocument/2006/relationships/footer" Target="footer1.xml"/><Relationship Id="rId46" Type="http://schemas.openxmlformats.org/officeDocument/2006/relationships/numbering" Target="numbering.xml"/><Relationship Id="rId47" Type="http://schemas.openxmlformats.org/officeDocument/2006/relationships/fontTable" Target="fontTable.xml"/><Relationship Id="rId48" Type="http://schemas.openxmlformats.org/officeDocument/2006/relationships/settings" Target="settings.xml"/><Relationship Id="rId4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2023-03-20T12:14:00Z</dcterms:created>
  <dc:creator> </dc:creator>
  <dc:description/>
  <cp:keywords/>
  <dc:language>en-IL</dc:language>
  <cp:lastModifiedBy>h1</cp:lastModifiedBy>
  <dcterms:modified xsi:type="dcterms:W3CDTF">2023-03-20T12:14:00Z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פריד אסמאעיל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5958231;22006503;25824863;25940943;17954222;25520167;27648787;5950172;18090902;4338062;6024035;4234303;13030651;25263974;26103748;26294158;5678001;2894643;4258499;22897331;21567481;25846689;26612098;23553050;22586171;27761883;26327814:2</vt:lpwstr>
  </property>
  <property fmtid="{D5CDD505-2E9C-101B-9397-08002B2CF9AE}" pid="9" name="CITY">
    <vt:lpwstr>עכו</vt:lpwstr>
  </property>
  <property fmtid="{D5CDD505-2E9C-101B-9397-08002B2CF9AE}" pid="10" name="DATE">
    <vt:lpwstr>20220227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ג'ני טנוס</vt:lpwstr>
  </property>
  <property fmtid="{D5CDD505-2E9C-101B-9397-08002B2CF9AE}" pid="14" name="LAWLISTTMP1">
    <vt:lpwstr>70301/144.a:2;fCa(1)S</vt:lpwstr>
  </property>
  <property fmtid="{D5CDD505-2E9C-101B-9397-08002B2CF9AE}" pid="15" name="LAWLISTTMP2">
    <vt:lpwstr>91073:2</vt:lpwstr>
  </property>
  <property fmtid="{D5CDD505-2E9C-101B-9397-08002B2CF9AE}" pid="16" name="LAWLISTTMP3">
    <vt:lpwstr>75015</vt:lpwstr>
  </property>
  <property fmtid="{D5CDD505-2E9C-101B-9397-08002B2CF9AE}" pid="17" name="LAWYER">
    <vt:lpwstr>באסל פלאח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14786</vt:lpwstr>
  </property>
  <property fmtid="{D5CDD505-2E9C-101B-9397-08002B2CF9AE}" pid="24" name="NEWPARTB">
    <vt:lpwstr>08</vt:lpwstr>
  </property>
  <property fmtid="{D5CDD505-2E9C-101B-9397-08002B2CF9AE}" pid="25" name="NEWPARTC">
    <vt:lpwstr>19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3</vt:lpwstr>
  </property>
  <property fmtid="{D5CDD505-2E9C-101B-9397-08002B2CF9AE}" pid="35" name="TYPE_ABS_DATE">
    <vt:lpwstr>380020220227</vt:lpwstr>
  </property>
  <property fmtid="{D5CDD505-2E9C-101B-9397-08002B2CF9AE}" pid="36" name="TYPE_N_DATE">
    <vt:lpwstr>38020220227</vt:lpwstr>
  </property>
  <property fmtid="{D5CDD505-2E9C-101B-9397-08002B2CF9AE}" pid="37" name="VOLUME">
    <vt:lpwstr/>
  </property>
  <property fmtid="{D5CDD505-2E9C-101B-9397-08002B2CF9AE}" pid="38" name="WORDNUMPAGES">
    <vt:lpwstr>10</vt:lpwstr>
  </property>
</Properties>
</file>