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14810-04-16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שמשון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ביינה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bookmarkStart w:id="2" w:name="LawTable"/>
      <w:bookmarkEnd w:id="2"/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335</w:t>
        </w:r>
      </w:hyperlink>
    </w:p>
    <w:p>
      <w:pPr>
        <w:pStyle w:val="Normal"/>
        <w:spacing w:lineRule="auto" w:line="360"/>
        <w:ind w:end="0"/>
        <w:jc w:val="both"/>
        <w:rPr>
          <w:rStyle w:val="ArialFrankRuehl14"/>
          <w:color w:val="0000FF"/>
          <w:u w:val="single"/>
        </w:rPr>
      </w:pPr>
      <w:r>
        <w:rPr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bookmarkStart w:id="6" w:name="ABSTRACT_START"/>
      <w:bookmarkEnd w:id="6"/>
      <w:r>
        <w:rPr>
          <w:rFonts w:ascii="David" w:hAnsi="David"/>
          <w:rtl w:val="true"/>
          <w:lang w:val="en-US" w:eastAsia="en-US"/>
        </w:rPr>
        <w:t>הנאשם הורשע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פי הודאתו במסגרת הסדר 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בעבירה של חבלה חמורה בנסיבות מחמירות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lang w:val="en-US" w:eastAsia="en-US"/>
          </w:rPr>
          <w:t>333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בצירוף סעיף </w:t>
      </w:r>
      <w:hyperlink r:id="rId8">
        <w:r>
          <w:rPr>
            <w:rStyle w:val="Hyperlink"/>
            <w:rFonts w:cs="David" w:ascii="David" w:hAnsi="David"/>
            <w:color w:val="0000FF"/>
            <w:lang w:val="en-US" w:eastAsia="en-US"/>
          </w:rPr>
          <w:t>335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David" w:hAnsi="David"/>
          <w:rtl w:val="true"/>
          <w:lang w:val="en-US" w:eastAsia="en-US"/>
        </w:rPr>
        <w:t xml:space="preserve"> 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במסגרת הסדר טיעון אליו הגיעו הצדדים</w:t>
      </w:r>
      <w:r>
        <w:rPr>
          <w:rFonts w:cs="David" w:ascii="David" w:hAnsi="David"/>
          <w:rtl w:val="true"/>
          <w:lang w:val="en-US" w:eastAsia="en-US"/>
        </w:rPr>
        <w:t xml:space="preserve">,  </w:t>
      </w:r>
      <w:r>
        <w:rPr>
          <w:rFonts w:ascii="David" w:hAnsi="David"/>
          <w:rtl w:val="true"/>
          <w:lang w:val="en-US" w:eastAsia="en-US"/>
        </w:rPr>
        <w:t>הוסכם כי המאשימה תטען למתחם עונש הולם הנע בין שלוש לחמש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ותבקש לגזור על הנאשם מאסר בפועל למשך שלוש 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 ותשלום פיצוי למתלוננים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חופשי בטיעוניו לעונש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כתב האישום המתוקן בהסדר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על פי עובדות כתב האישום המתוקן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במהלך שעות הלילה המוקדמות בין </w:t>
      </w:r>
      <w:r>
        <w:rPr>
          <w:rFonts w:cs="David" w:ascii="David" w:hAnsi="David"/>
          <w:lang w:val="en-US" w:eastAsia="en-US"/>
        </w:rPr>
        <w:t>23.3.3016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24.3.2016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בסמוך 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סוהו בר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ברחוב ריבלין בירושלים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התפתח דין ודברים בין הנאשם לבין מ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ascii="David" w:hAnsi="David"/>
          <w:rtl w:val="true"/>
          <w:lang w:val="en-US" w:eastAsia="en-US"/>
        </w:rPr>
        <w:t>ט</w:t>
      </w:r>
      <w:r>
        <w:rPr>
          <w:rFonts w:cs="David" w:ascii="David" w:hAnsi="David"/>
          <w:rtl w:val="true"/>
          <w:lang w:val="en-US" w:eastAsia="en-US"/>
        </w:rPr>
        <w:t xml:space="preserve">., </w:t>
      </w:r>
      <w:r>
        <w:rPr>
          <w:rFonts w:ascii="David" w:hAnsi="David"/>
          <w:rtl w:val="true"/>
          <w:lang w:val="en-US" w:eastAsia="en-US"/>
        </w:rPr>
        <w:t xml:space="preserve">יליד </w:t>
      </w:r>
      <w:r>
        <w:rPr>
          <w:rFonts w:cs="David" w:ascii="David" w:hAnsi="David"/>
          <w:lang w:val="en-US" w:eastAsia="en-US"/>
        </w:rPr>
        <w:t>1995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המתלונן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אשר במהלכו תקף המתלונן את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היכה בו מכת אגרוף בפניו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הפיל אותו לקרקע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בעט בו והטיח בו כיסא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כתוצאה ממעשיו של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נגרמו לנאשם סימן המטומה גדול בסמוך לעינו הימנית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 המטומה בלחיו השמאלית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חברו של הנאשם הפריד בין המתלונן לנאשם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ולקח את הנאשם לביתו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בסמוך לכיכר הדווידקה בירושלים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שטף את פניו של הנאשם והשכיבו במיטה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מספר דקות לאחר מכן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החבר היה במקלחת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יצא הנאשם מהמיטה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לקח אקדח מסוג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יריחו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 xml:space="preserve">בקוטר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החזיק ברישיון מתוקף תפקידו כמאבטח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ויצא מן הבית בחיפוש אחר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הלך לאורך רחוב יפו לכיוון העירייה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פנה אל אנשים בדרך ושאל אותם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איפה הוא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איפה הוא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 xml:space="preserve">וכן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איפה הבחור עם החולצה האדומה</w:t>
      </w:r>
      <w:r>
        <w:rPr>
          <w:rFonts w:cs="David" w:ascii="David" w:hAnsi="David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כשהגיע הנאשם סמוך לרחוב יפו </w:t>
      </w:r>
      <w:r>
        <w:rPr>
          <w:rFonts w:cs="David" w:ascii="David" w:hAnsi="David"/>
          <w:lang w:val="en-US" w:eastAsia="en-US"/>
        </w:rPr>
        <w:t>41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ראה את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הוציא את האקדח מתחתוניו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רץ לעבר המתלונן וירה לכיוון רגליו של המתלונן שלוש יריות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נפגע מהירי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 לברוח בצליעה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נפל לקרקע והנאשם שב וירה בו פעמיים נוספות כשהמתלונן על הקרקע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כתוצאה ממעשיו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נגרם למתלונן פצע ירי כניסה בירך מדיאלי ואחורי ויציאה לטרלי דסטאלי אשר גרם לשיתוק מלא של </w:t>
      </w:r>
      <w:r>
        <w:rPr>
          <w:rFonts w:cs="David" w:ascii="David" w:hAnsi="David"/>
          <w:lang w:val="en-US" w:eastAsia="en-US"/>
        </w:rPr>
        <w:t>sciatic nerve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הצריך טיפול בסד קשיח ואשפוז בבית חולים למשך מספר ימים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בשלב זה תפסו עוברי אורח את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כתוצאה מהניסיון של עוברי האורח לקחת מידי הנאשם את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נפלטו מהנשק  כדורים ונפגעה עוברת אורח ד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ascii="David" w:hAnsi="David"/>
          <w:rtl w:val="true"/>
          <w:lang w:val="en-US" w:eastAsia="en-US"/>
        </w:rPr>
        <w:t>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ילידת </w:t>
      </w:r>
      <w:r>
        <w:rPr>
          <w:rFonts w:cs="David" w:ascii="David" w:hAnsi="David"/>
          <w:lang w:val="en-US" w:eastAsia="en-US"/>
        </w:rPr>
        <w:t>2001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המתלוננת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למתלוננת נגרמו פצע ירי באמה השמאלית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פצע כניסה באספק וואלרי אולנרי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פצע כ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2.5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 קוטר וחור יציאה דיסטלית באמה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בגין חבלות אלה נדרשה המתלוננת לעבור טיפול בבית חולים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על פי האמור בתסקיר שהוגש בעניינו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הנאשם בן </w:t>
      </w:r>
      <w:r>
        <w:rPr>
          <w:rFonts w:cs="David" w:ascii="David" w:hAnsi="David"/>
          <w:lang w:val="en-US" w:eastAsia="en-US"/>
        </w:rPr>
        <w:t>27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רווק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בעל השכלה של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 לימוד עם תעודת בגרות חלקית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שירת שירות צבאי מלא כלוחם חי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ר בצנחנים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בתסקיר התייחסות למשפחתו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לשנות לימודיו ולתפקודו בצבא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הוערך כחייל בעל משמעת עצמית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אחראי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 מוסר עבודה גבוה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מהווה דוגמה אישית למסירות ואחריות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ועוזר לזולת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התנהגותו הוערכה כ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ראויה לציון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הנאשם ממשיך לשרת במערך המילואים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עבר קורס מאבטחים ועבד כמאבטח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עבודה שהופסקה בעקבות העבירות שבוצעו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שהה במעצר בפיקוח אלקטרוני במשך כ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מכן שוחרר למעצר בית מלא עם רשות יציאה לעבודה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ובספטמבר </w:t>
      </w:r>
      <w:r>
        <w:rPr>
          <w:rFonts w:cs="David" w:ascii="David" w:hAnsi="David"/>
          <w:lang w:val="en-US" w:eastAsia="en-US"/>
        </w:rPr>
        <w:t>2018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בוטלו התנאים המגבילים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בחודשים האחרונים החל הנאשם לעבוד בחברת שיווק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גם בעבודה הוערך הנאשם כעובד אחראי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 יחסי אנוש מעולים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עמד ביעדים לשביעות רצון מנהליו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  <w:t xml:space="preserve"> </w:t>
      </w:r>
      <w:r>
        <w:rPr>
          <w:rFonts w:ascii="David" w:hAnsi="David"/>
          <w:rtl w:val="true"/>
          <w:lang w:val="en-US" w:eastAsia="en-US"/>
        </w:rPr>
        <w:t>הוגש גזר הדין שניתן בעניינו של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הורשע בתקיפה הגורמת חבלה של ממש של הנאשם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40681-10-17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ממנו עולה כי בעניינו הוסכם שהמתלונן לא תכנן לתקוף את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ופנה אליו רק בשל כך שנחלץ לעזרתן של נערות שפנו אליו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 מול הנאשם שהטריד אותן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 נקבע בעניינו של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שגם לאחר שהנאשם עזב את המקום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המתלונן חיפש אותו כדי להכותו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היכה אותו במכת אגרוף והפילו לארץ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ואז בעט בראשו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 היכהו באמצעות כיסא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המתלונן נגזר עונש מאסר בפועל למשך שבעה חודשים ומאסר על 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 היתר בהתחשב בכך שלחובתו הרשעות קודמות בעבירות אלימות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ומנגד בהתחשב בפגיעה שנפגע על ידי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  <w:t xml:space="preserve"> </w:t>
      </w:r>
      <w:r>
        <w:rPr>
          <w:rFonts w:ascii="David" w:hAnsi="David"/>
          <w:rtl w:val="true"/>
          <w:lang w:val="en-US" w:eastAsia="en-US"/>
        </w:rPr>
        <w:t>ההגנה הגישה סרטון של אירוע</w:t>
      </w:r>
      <w:r>
        <w:rPr>
          <w:rFonts w:ascii="David" w:hAnsi="David"/>
          <w:rtl w:val="true"/>
          <w:lang w:val="en-US" w:eastAsia="en-US"/>
        </w:rPr>
        <w:t xml:space="preserve"> התקיפה של הנאשם על ידי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 הצדדים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התייחסה לנסיבות האירוע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לתקיפת הנאשם על ידי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ולכך שלאחר שהנאשם הורחק מהמקום לביתו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יצא מביתו בחיפוש אחרי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כשהוא מצויד באקדח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החזיק ברישיון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בטיעוניה התייחסה לירי כלפי המתלונן – שלוש יריות לכיוון רגליו של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ניסה להימלט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נפל לקרקע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ואז ירה בו הנאשם פעמיים נוספות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 התייחסה לפגיעה במתלוננת מפליטת כדורים מאקדחו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עוברי אורח ניסו לקחת מהנאשם את האקדח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שני המתלוננים נפצעו כתוצאה מהירי ונזקקו לטיפול בבית חולים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הערכים המוגנים התייחסה להרתעה מפני מעשי אלימות בקרב צעירים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כן התייחסה לנסיבות הקשורות בביצוע העבירה ולנזק שנגרם כתוצאה ממנה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כמפורט בכתב האישום – הן לנזק שנגרם לנאשם מתקיפתו על ידי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והן לנזק שנגרם למתלוננים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הנזק עלול היה להיות גדול בהרבה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להביא למותו של המתלונן ולפגיעה חמורה יותר ואף נכות לצמיתות במתלוננת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 יכלו להיפגע עוברי אורח נוספים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למעשה של הנאשם קדם תכנון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מתוך רצון לנקום על תקיפתו על ידי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יכול היה להימנע ממעשיו ואף שלט בהם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בחר לירות לכיוון רגליו של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הפנתה לפסיקה לעניין מדיניות הענישה הנוהגת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ולצורך להטיל עונשי מאסר בפועל מרתיעים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לפיכך ביקשה לקבוע כי מתחם העונש ההולם נע בין שלוש לחמש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קביעת העונש בתוך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התייחסה לכך שהנאשם נעדר עבר פלילי והודה במיוחס לו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מנגד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שירות המבחן העריך את מסוכנותו של הנאשם כבינונית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ציין כי הנאשם אינו מגלה אמפתיה לנפגעי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 בא בהמלצה טיפולית בעניינו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היה עצור במשך חודש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תקופה שיש לנכות מעונשו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היה נתון בפיקוח אלקטרוני במשך למעלה משנה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לטענת המאשימה אין לנכות תקופה זו מעונש המאסר שייגזר על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ובהתאם להסדר הטיעון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ביקשה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לגזור על הנאשם מאסר בפועל למשך שלוש 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ופיצוי משמעותי למתלוננים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התייחס בטיעוניו לכך שתחילתו של האירוע בתקיפת הנאשם על ידי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כמתואר בכתב האישום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מעשיו של המתלונן יכלו לגרום לנאשם חבלות קשות יותר ואף לגרום למותו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שהנאשם חווה את ההשפלה מול חברים שנכחו במקום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ניגש לביתו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לקח אקדח וירה לעבר רגליו של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כאשר ניסו עוברי אורח להשתלט על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נפלט מהנשק כדור אשר פגע באזרחים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אמנם ניהל הוכחות עד להגעת הצדדים להסדר 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בעקבות הליך גישור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כתב האישום תוקן לקולה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כך שניהול ההוכחות היה מוצדק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מתחם העונש ההולם – בהתייחס לנסיבות הקשורות בביצוע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 כי לביצוע העבירה לא קדם תכנון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יצא לבלות עם חבריו ללא שהצטייד בנשק האישי שלו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רק לאחר המכות שקיבל מהמתלונן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 הרחוב וליד אנשים זרים וחבריו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שהושפל וחווה כאב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בלהט הרגע שב הנאשם לביתו והצטייד באקדח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אמנם הנאשם לא היה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מצוקה נפשית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אך היה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מצוקה פיזית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אותה חווה מהמתלונן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הפנה לשורה של פסקי דין בעבירה דומה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ללא שימוש בנשק 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העונש ההולם נע בין מספר חודשי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שיכול שירוצו בעבודות שירות</w:t>
      </w:r>
      <w:r>
        <w:rPr>
          <w:rFonts w:cs="David" w:ascii="David" w:hAnsi="David"/>
          <w:rtl w:val="true"/>
          <w:lang w:val="en-US" w:eastAsia="en-US"/>
        </w:rPr>
        <w:t xml:space="preserve">, 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העונש בתוך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התייחס להיותו של הנאשם צעיר בן </w:t>
      </w:r>
      <w:r>
        <w:rPr>
          <w:rFonts w:cs="David" w:ascii="David" w:hAnsi="David"/>
          <w:lang w:val="en-US" w:eastAsia="en-US"/>
        </w:rPr>
        <w:t>27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רווק אשר הגיע ממשפחה סוציו אקונומית נמוכה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נעדר עבר פלילי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עוד התייחס לשירותו הצבאי של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ציין כי הנאשם מצטער על 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 הערכת המסוכנות בתסקיר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כי שירות המבחן טעה בהערכתו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איננה מתיישבת עם התנהגותו הנורמטיבית של הנאשם במהלך השנים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שמר על כל תנאי השחרור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השתלב בטיפול במסגרת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והודה במיוחס לו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מסוכנותו של הנאשם נמוכה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לגבי קושי של הנאשם לחוש אמפתיה כלפי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ניתן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להבין את הדברים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 בכך שהמתלונן פגע בנאשם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 גם ביקש שלא לפסוק פיצוי לזכותו של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לא ניתן להתעלם מכך שהנאשם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נענש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על מעשיו בדרך מוחשית וכואבת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על ידי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עוזר לאמו בפרנסה בבית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הודה בכתב אישום מתוקן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לקח אחריות על 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נפתחו כנגדו הליכים פליליים חדשים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והוא שמר בדווקנות על התנאים בהם שהה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6924" w:leader="none"/>
        </w:tabs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כן התייחס לחלוף הזמן מעת 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קרוב לארבע שנים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6924" w:leader="none"/>
        </w:tabs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למקם את הנאשם בתחתית 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 עדיף לחברה שהנאשם ירצה מאסר בעבודות שירות ו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לא יהיה בוגר של שנה בבית הסוהר על כל הסכנות הטמונות בכך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כן ביקש לנכות מהמאסר את תקופת המעצר ולפחות חלק מהתקופה בה שהה הנאשם במעצר בפיקוח אלקטרוני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הנאשם  ציין כי הוא מצטער על 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 הוא עשה טעות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סבל הרבה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הייתה לו כוונה לעשות מה שעשה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במצבו לא מקבלים אותו לעבודה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מתחם העונש ההולם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11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בהתאם לתיקון </w:t>
      </w:r>
      <w:r>
        <w:rPr>
          <w:rFonts w:cs="David" w:ascii="David" w:hAnsi="David"/>
          <w:lang w:val="en-US" w:eastAsia="en-US"/>
        </w:rPr>
        <w:t>113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העיקרו</w:t>
      </w:r>
      <w:r>
        <w:rPr>
          <w:rFonts w:ascii="David" w:hAnsi="David"/>
          <w:rtl w:val="true"/>
          <w:lang w:val="en-US" w:eastAsia="en-US"/>
        </w:rPr>
        <w:t>ן</w:t>
      </w:r>
      <w:r>
        <w:rPr>
          <w:rFonts w:ascii="David" w:hAnsi="David"/>
          <w:rtl w:val="true"/>
          <w:lang w:val="en-US" w:eastAsia="en-US"/>
        </w:rPr>
        <w:t xml:space="preserve"> המנחה בענישה הוא עקרון ההלימה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 xml:space="preserve">סעיף </w:t>
      </w:r>
      <w:hyperlink r:id="rId12">
        <w:r>
          <w:rPr>
            <w:rStyle w:val="Hyperlink"/>
            <w:rFonts w:cs="David" w:ascii="David" w:hAnsi="David"/>
            <w:color w:val="0000FF"/>
            <w:lang w:val="en-US" w:eastAsia="en-US"/>
          </w:rPr>
          <w:t>40</w:t>
        </w:r>
        <w:r>
          <w:rPr>
            <w:rStyle w:val="Hyperlink"/>
            <w:rFonts w:ascii="David" w:hAnsi="David"/>
            <w:color w:val="0000FF"/>
            <w:rtl w:val="true"/>
            <w:lang w:val="en-US" w:eastAsia="en-US"/>
          </w:rPr>
          <w:t>ב</w:t>
        </w:r>
      </w:hyperlink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עקרון ההלימה משמעו מתן דגש לעקרון הגמול על מעשה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הנסיבות האישיות מהוות שיקול רק לאחר מכן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בקביעת העונש בתוך מתחם הענישה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קביעת מתחם הענישה נעשית בהתחשב בערך החברתי שנפגע מביצוע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במידת הפגיעה 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במדיניות הענישה הנהוגה ובנסיבות הקשורות בביצוע העבירה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סעיף </w:t>
      </w:r>
      <w:hyperlink r:id="rId13">
        <w:r>
          <w:rPr>
            <w:rStyle w:val="Hyperlink"/>
            <w:rFonts w:cs="David" w:ascii="David" w:hAnsi="David"/>
            <w:color w:val="0000FF"/>
            <w:lang w:val="en-US" w:eastAsia="en-US"/>
          </w:rPr>
          <w:t>40</w:t>
        </w:r>
        <w:r>
          <w:rPr>
            <w:rStyle w:val="Hyperlink"/>
            <w:rFonts w:ascii="David" w:hAnsi="David"/>
            <w:color w:val="0000FF"/>
            <w:rtl w:val="true"/>
            <w:lang w:val="en-US" w:eastAsia="en-US"/>
          </w:rPr>
          <w:t>ג</w:t>
        </w:r>
      </w:hyperlink>
      <w:r>
        <w:rPr>
          <w:rFonts w:cs="David" w:ascii="David" w:hAnsi="David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בראש ובראשונה יש להתייחס לעונש שקבע המחוקק לצד העבירות –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לעבירה של חבלה חמורה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שימוש בנשק 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קבע המחוקק עונש של </w:t>
      </w:r>
      <w:r>
        <w:rPr>
          <w:rFonts w:cs="David" w:ascii="David" w:hAnsi="David"/>
          <w:lang w:val="en-US" w:eastAsia="en-US"/>
        </w:rPr>
        <w:t>14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לצד הענישה שקבע המחוקק יש להתחשב כאמור במדיניות הענישה הנהוגה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המאשימה הגישה פסקי דין כמפורט להלן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28139-10-13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באסל אבו אעמר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18.1.2015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בערעור שהגיש הנאשם הופחת עונשו מ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48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44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חודשים </w:t>
      </w:r>
      <w:r>
        <w:rPr>
          <w:rFonts w:cs="David" w:ascii="David" w:hAnsi="David"/>
          <w:rtl w:val="true"/>
          <w:lang w:val="en-US" w:eastAsia="en-US"/>
        </w:rPr>
        <w:t>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1244/15</w:t>
        </w:r>
      </w:hyperlink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6383/12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זוהיר חאלד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29.9.2014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6384/12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אביאור גינון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6.5.2013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4406/19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 xml:space="preserve">יונס סובח </w:t>
      </w:r>
      <w:r>
        <w:rPr>
          <w:rFonts w:ascii="David" w:hAnsi="David"/>
          <w:rtl w:val="true"/>
          <w:lang w:val="en-US" w:eastAsia="en-US"/>
        </w:rPr>
        <w:t>ואח</w:t>
      </w:r>
      <w:r>
        <w:rPr>
          <w:rFonts w:cs="David" w:ascii="David" w:hAnsi="David"/>
          <w:rtl w:val="true"/>
          <w:lang w:val="en-US" w:eastAsia="en-US"/>
        </w:rPr>
        <w:t>' (</w:t>
      </w:r>
      <w:r>
        <w:rPr>
          <w:rFonts w:cs="David" w:ascii="David" w:hAnsi="David"/>
          <w:lang w:val="en-US" w:eastAsia="en-US"/>
        </w:rPr>
        <w:t>5.11.2019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6971/13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אושר עמרן ואח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23.9.2014</w:t>
      </w:r>
      <w:r>
        <w:rPr>
          <w:rFonts w:cs="David" w:ascii="David" w:hAnsi="David"/>
          <w:rtl w:val="true"/>
          <w:lang w:val="en-US" w:eastAsia="en-US"/>
        </w:rPr>
        <w:t xml:space="preserve">);.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הגיש פסיקה כמפורט להלן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2127/17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אמין עלוש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28.2.2018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10697-10-17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טארק הימוני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19.11.2018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5794/13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חליל שיכה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2.4.2014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8319/14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אבידור מלול ואח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cs="David" w:ascii="David" w:hAnsi="David"/>
          <w:lang w:val="en-US" w:eastAsia="en-US"/>
        </w:rPr>
        <w:t>30.3.2015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5316/13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תאופיק מסאלחה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9.12.2013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r>
        <w:rPr>
          <w:rFonts w:ascii="David" w:hAnsi="David"/>
          <w:rtl w:val="true"/>
          <w:lang w:val="en-US" w:eastAsia="en-US"/>
        </w:rPr>
        <w:t>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פ </w:t>
      </w:r>
      <w:r>
        <w:rPr>
          <w:rFonts w:cs="David" w:ascii="David" w:hAnsi="David"/>
          <w:lang w:val="en-US" w:eastAsia="en-US"/>
        </w:rPr>
        <w:t>1508/13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מכלוף מיקי אמסלם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18.8.2016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7760/15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עומרי הייב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10.5.2016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5641/09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דניס ברזינסקי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22.3.2010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49945-01-14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חוסאם רסלאן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17.11.2014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60812-10-10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תאיר בן עמאר שיבלי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4.7.2011</w:t>
      </w:r>
      <w:r>
        <w:rPr>
          <w:rFonts w:cs="David" w:ascii="David" w:hAnsi="David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14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לעניין הערך החברתי שנפגע מהעבירה </w:t>
      </w:r>
      <w:r>
        <w:rPr>
          <w:rFonts w:cs="David" w:ascii="David" w:hAnsi="David"/>
          <w:rtl w:val="true"/>
          <w:lang w:val="en-US" w:eastAsia="en-US"/>
        </w:rPr>
        <w:t xml:space="preserve">-  </w:t>
      </w:r>
      <w:r>
        <w:rPr>
          <w:rFonts w:ascii="David" w:hAnsi="David"/>
          <w:rtl w:val="true"/>
          <w:lang w:val="en-US" w:eastAsia="en-US"/>
        </w:rPr>
        <w:t>מדובר מלחמה בפתרון סכסוכים בדרכים אלימות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במניעת שימוש בנשק לפתרון סכסוכים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ובהגנה על הציבור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בתי המשפט התייחסו רבות לחומרה המיוחדת שבעבירות אלימות בכלל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ובעבירות הקשורות בשימוש בנשק חם בפרט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לעניין זה קבע בית המשפט בעליון 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4406/19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340" w:end="34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בשנים האחרונות אף חלה עליה מתמדת במספר אירועי הירי המדווחים למשטרה</w:t>
      </w:r>
      <w:r>
        <w:rPr>
          <w:rFonts w:cs="David" w:ascii="David" w:hAnsi="David"/>
          <w:b/>
          <w:bCs/>
          <w:rtl w:val="true"/>
          <w:lang w:val="en-US" w:eastAsia="en-US"/>
        </w:rPr>
        <w:t>...</w:t>
      </w:r>
    </w:p>
    <w:p>
      <w:pPr>
        <w:pStyle w:val="Normal"/>
        <w:spacing w:lineRule="auto" w:line="360"/>
        <w:ind w:start="340" w:end="34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בית משפט זה לא נותר אדיש למול השימוש הגובר בנשק חם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... </w:t>
      </w:r>
    </w:p>
    <w:p>
      <w:pPr>
        <w:pStyle w:val="Normal"/>
        <w:spacing w:lineRule="auto" w:line="360"/>
        <w:ind w:start="340" w:end="34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בהתאם לכך ולנוכח ריבוי מקרי הירי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ועל אחת כמה וכמה שימוש בנשק חם ופציעתם של קורבנות שונים עקב כך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הצורך במדיניות ענישה מחמירה נחוץ במיוחד כאשר השימוש בנשק גורר פגיעה בגוף ובנפש</w:t>
      </w:r>
      <w:r>
        <w:rPr>
          <w:rFonts w:cs="David" w:ascii="David" w:hAnsi="David"/>
          <w:b/>
          <w:bCs/>
          <w:rtl w:val="true"/>
          <w:lang w:val="en-US" w:eastAsia="en-US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אשר לנסיבות הקשורות בעבירה </w:t>
      </w:r>
      <w:r>
        <w:rPr>
          <w:rFonts w:cs="David" w:ascii="David" w:hAnsi="David"/>
          <w:rtl w:val="true"/>
          <w:lang w:val="en-US" w:eastAsia="en-US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במקרה זה מדובר באירוע שהחל בתקיפה קשה של הנאשם על ידי המתלונן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אך בכך לא הסתיים האירוע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 שהנאשם נלקח לביתו על ידי אחד מחבריו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נטל מהבית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החזיק ברישיון במסגרת עבודתו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חזר לחפש את המתלונן כדי לנקום 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ירה במתלונן שלוש יריות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וכשהמתלונן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שניסה להימלט מהמקום נפל לארץ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ירה בו הנאשם שתי יריות נוספות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מכן נפצעה גם המתלוננת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שנכחה במקום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מפליטת כדור כאשר עוברי אורח ניסו לקחת מהנאשם את הנשק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תקיפת הנאשם על ידי המתלונן מהווה נסיבה מקילה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אין להשוות בין תקיפה 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לבין מעשיו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כבר היה בביתו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לקח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יצא מביתו והלך לחפש את 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וכאשר מצא אותו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ירה בו מספר יריות בנשק 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בכוונה לפגוע בו וגרם לו חבלה חמורה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הסיכון בשימוש בנשק חם רב מאוד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ובמקרה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נפגעה גם עוברת אורח מפליטות כדורים מהנשק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 רב המרחק מפגיעה באנשים נוספים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חפים מפשע אשר היו ברחוב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 מגרימת מוות של מי מהם כתוצאה מהירי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16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ובנוגע לנזק שנגרם – על פי האמור בכתב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כתוצאה מהירי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נגרם למתלונן פצע ירי כניסה בירך מדיאלי ואחורי ויציאה לטרלי דסטאלי אשר גרם לשיתוק מלא של </w:t>
      </w:r>
      <w:r>
        <w:rPr>
          <w:rFonts w:cs="David" w:ascii="David" w:hAnsi="David"/>
          <w:lang w:val="en-US" w:eastAsia="en-US"/>
        </w:rPr>
        <w:t>sciatic nerve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הצריך טיפול בסד קשיח ואשפוז בבית חולים למשך מספר ימים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לעוברת אורח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נפגעה כתוצאה מפליטת כדורים בעת תפיסת הנשק מהנאשם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נגרמו פצעי ירי באמה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והיא נדרשה לעבור טיפול בבית חולים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1210" w:leader="none"/>
        </w:tabs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17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בהתחשב במכלול השיקולים כמפורט 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לאור מהות העבירות ונסיבותיהן ובהתחשב בפסיקת בית המשפט העליון לעניין הצורך להחמיר בענישה בעבירות אלימות תוך שימוש בנשק 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מקובלת עליי עמדת המדינה באשר למתחם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הנע בין שלוש לחמש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העונש בתוך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אין מחלוקת בין הצדדים כי יש להעמיד את עונשו של הנאשם בתחתית 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זאת בהתחשב בכך שהנאשם נעדר עבר 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 בהודאתו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 אף קביעת מסוכנות בינונית של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התייחסות לכך שמאז האירוע לא נפתחו נגד הנאשם תיקים נוספים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 יש להתחשב בחלוף הזמן מאז האירוע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כי חלק ניכר ממנו קשור בהתנהלות ההגנה בניהול ההוכחות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 בכך שהנאשם שהה במעצר באיזוק אלקטרוני תקופה ממושכת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לפסיקת פיצוי – נוכח תקיפת הנאשם על ידי המתלונן בתחילת האירוע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אינני רואה מקום לפסוק פיצוי לזכותו של המתלונן במסגרת ההליך הפלילי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19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נוכח האמור 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אני דנה את הנאשם כמפורט להלן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מאסר בפועל למשך שלוש 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בניכוי תקופת מעצרו של הנאשם מיום </w:t>
      </w:r>
      <w:r>
        <w:rPr>
          <w:rFonts w:cs="David" w:ascii="David" w:hAnsi="David"/>
          <w:lang w:val="en-US" w:eastAsia="en-US"/>
        </w:rPr>
        <w:t>24.3.16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21.4.16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מאסר על תנאי של שישה 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לא ירצה הנאשם אלא אם יעבור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שלוש שנים מיום שחרורו מהמאסר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 עבירת אלימות מסוג פשע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ישלם למתלוננת ד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ascii="David" w:hAnsi="David"/>
          <w:rtl w:val="true"/>
          <w:lang w:val="en-US" w:eastAsia="en-US"/>
        </w:rPr>
        <w:t>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פיצוי בסך </w:t>
      </w:r>
      <w:r>
        <w:rPr>
          <w:rFonts w:cs="David" w:ascii="David" w:hAnsi="David"/>
          <w:lang w:val="en-US" w:eastAsia="en-US"/>
        </w:rPr>
        <w:t>5,000</w:t>
      </w:r>
      <w:r>
        <w:rPr>
          <w:rFonts w:cs="David" w:ascii="David" w:hAnsi="David"/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זכות ערעור לבית המשפט העליון בתוך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יום מהיום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המזכירות תשלח העתק גזר הדין לשירות המבחן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המאשימה תודיע למתלוננת על פסיקת הפיצוי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5040" w:end="0"/>
        <w:jc w:val="both"/>
        <w:rPr/>
      </w:pPr>
      <w:bookmarkStart w:id="9" w:name="Nitan"/>
      <w:r>
        <w:rPr>
          <w:rStyle w:val="ArialFrankRuehl14"/>
          <w:rFonts w:cs="Arial" w:ascii="Arial" w:hAnsi="Arial"/>
          <w:color w:val="FFFFFF"/>
          <w:sz w:val="2"/>
          <w:szCs w:val="2"/>
        </w:rPr>
        <w:t>5129371</w:t>
      </w:r>
      <w:r>
        <w:rPr>
          <w:rStyle w:val="ArialFrankRuehl14"/>
          <w:rFonts w:cs="Arial" w:ascii="Arial" w:hAnsi="Arial"/>
          <w:rtl w:val="true"/>
        </w:rPr>
        <w:t xml:space="preserve"> </w:t>
      </w:r>
      <w:r>
        <w:rPr>
          <w:rStyle w:val="ArialFrankRuehl14"/>
          <w:rFonts w:ascii="Arial" w:hAnsi="Arial" w:cs="Arial"/>
          <w:rtl w:val="true"/>
        </w:rPr>
        <w:t>ניתן היום</w:t>
      </w:r>
      <w:r>
        <w:rPr>
          <w:rStyle w:val="ArialFrankRuehl14"/>
          <w:rFonts w:cs="Arial" w:ascii="Arial" w:hAnsi="Arial"/>
          <w:rtl w:val="true"/>
        </w:rPr>
        <w:t xml:space="preserve">,  </w:t>
      </w:r>
      <w:r>
        <w:rPr>
          <w:rStyle w:val="ArialFrankRuehl14"/>
          <w:rFonts w:ascii="Arial" w:hAnsi="Arial" w:cs="Arial"/>
          <w:rtl w:val="true"/>
        </w:rPr>
        <w:t>ה</w:t>
      </w:r>
      <w:r>
        <w:rPr>
          <w:rStyle w:val="ArialFrankRuehl14"/>
          <w:rFonts w:cs="Arial" w:ascii="Arial" w:hAnsi="Arial"/>
          <w:rtl w:val="true"/>
        </w:rPr>
        <w:t xml:space="preserve">' </w:t>
      </w:r>
      <w:r>
        <w:rPr>
          <w:rStyle w:val="ArialFrankRuehl14"/>
          <w:rFonts w:ascii="Arial" w:hAnsi="Arial" w:cs="Arial"/>
          <w:rtl w:val="true"/>
        </w:rPr>
        <w:t>אדר תש</w:t>
      </w:r>
      <w:r>
        <w:rPr>
          <w:rStyle w:val="ArialFrankRuehl14"/>
          <w:rFonts w:cs="Arial" w:ascii="Arial" w:hAnsi="Arial"/>
          <w:rtl w:val="true"/>
        </w:rPr>
        <w:t>"</w:t>
      </w:r>
      <w:r>
        <w:rPr>
          <w:rStyle w:val="ArialFrankRuehl14"/>
          <w:rFonts w:ascii="Arial" w:hAnsi="Arial" w:cs="Arial"/>
          <w:rtl w:val="true"/>
        </w:rPr>
        <w:t>פ</w:t>
      </w:r>
      <w:r>
        <w:rPr>
          <w:rStyle w:val="ArialFrankRuehl14"/>
          <w:rFonts w:cs="Arial" w:ascii="Arial" w:hAnsi="Arial"/>
          <w:rtl w:val="true"/>
        </w:rPr>
        <w:t xml:space="preserve">, </w:t>
      </w:r>
      <w:r>
        <w:rPr>
          <w:rStyle w:val="ArialFrankRuehl14"/>
          <w:rFonts w:cs="Arial" w:ascii="Arial" w:hAnsi="Arial"/>
        </w:rPr>
        <w:t>01</w:t>
      </w:r>
      <w:r>
        <w:rPr>
          <w:rStyle w:val="ArialFrankRuehl14"/>
          <w:rFonts w:cs="Arial" w:ascii="Arial" w:hAnsi="Arial"/>
          <w:rtl w:val="true"/>
        </w:rPr>
        <w:t xml:space="preserve"> </w:t>
      </w:r>
      <w:r>
        <w:rPr>
          <w:rStyle w:val="ArialFrankRuehl14"/>
          <w:rFonts w:ascii="Arial" w:hAnsi="Arial" w:cs="Arial"/>
          <w:rtl w:val="true"/>
        </w:rPr>
        <w:t xml:space="preserve">מרץ </w:t>
      </w:r>
      <w:r>
        <w:rPr>
          <w:rStyle w:val="ArialFrankRuehl14"/>
          <w:rFonts w:cs="Arial" w:ascii="Arial" w:hAnsi="Arial"/>
        </w:rPr>
        <w:t>2020</w:t>
      </w:r>
      <w:r>
        <w:rPr>
          <w:rStyle w:val="ArialFrankRuehl14"/>
          <w:rFonts w:cs="Arial" w:ascii="Arial" w:hAnsi="Arial"/>
          <w:rtl w:val="true"/>
        </w:rPr>
        <w:t xml:space="preserve">, </w:t>
      </w:r>
      <w:r>
        <w:rPr>
          <w:rStyle w:val="ArialFrankRuehl14"/>
          <w:rFonts w:ascii="Arial" w:hAnsi="Arial" w:cs="Arial"/>
          <w:rtl w:val="true"/>
        </w:rPr>
        <w:t>במעמד הצדדים</w:t>
      </w:r>
      <w:r>
        <w:rPr>
          <w:rStyle w:val="ArialFrankRuehl14"/>
          <w:rFonts w:cs="Arial" w:ascii="Arial" w:hAnsi="Arial"/>
          <w:rtl w:val="true"/>
        </w:rPr>
        <w:t xml:space="preserve">. </w:t>
      </w:r>
      <w:bookmarkEnd w:id="9"/>
    </w:p>
    <w:tbl>
      <w:tblPr>
        <w:bidiVisual w:val="true"/>
        <w:tblW w:w="2869" w:type="dxa"/>
        <w:jc w:val="start"/>
        <w:tblInd w:w="8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Header"/>
        <w:ind w:end="0"/>
        <w:jc w:val="center"/>
        <w:rPr>
          <w:rStyle w:val="FrankRuehl14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14810-04-16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שמשון ביינה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336096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case/8437593" TargetMode="External"/><Relationship Id="rId15" Type="http://schemas.openxmlformats.org/officeDocument/2006/relationships/hyperlink" Target="http://www.nevo.co.il/case/20033653" TargetMode="External"/><Relationship Id="rId16" Type="http://schemas.openxmlformats.org/officeDocument/2006/relationships/hyperlink" Target="http://www.nevo.co.il/case/5590183" TargetMode="External"/><Relationship Id="rId17" Type="http://schemas.openxmlformats.org/officeDocument/2006/relationships/hyperlink" Target="http://www.nevo.co.il/case/5594421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8291746" TargetMode="External"/><Relationship Id="rId20" Type="http://schemas.openxmlformats.org/officeDocument/2006/relationships/hyperlink" Target="http://www.nevo.co.il/case/22301096" TargetMode="External"/><Relationship Id="rId21" Type="http://schemas.openxmlformats.org/officeDocument/2006/relationships/hyperlink" Target="http://www.nevo.co.il/case/23126918" TargetMode="External"/><Relationship Id="rId22" Type="http://schemas.openxmlformats.org/officeDocument/2006/relationships/hyperlink" Target="http://www.nevo.co.il/case/7977368" TargetMode="External"/><Relationship Id="rId23" Type="http://schemas.openxmlformats.org/officeDocument/2006/relationships/hyperlink" Target="http://www.nevo.co.il/case/18712155" TargetMode="External"/><Relationship Id="rId24" Type="http://schemas.openxmlformats.org/officeDocument/2006/relationships/hyperlink" Target="http://www.nevo.co.il/case/7812324" TargetMode="External"/><Relationship Id="rId25" Type="http://schemas.openxmlformats.org/officeDocument/2006/relationships/hyperlink" Target="http://www.nevo.co.il/case/20685193" TargetMode="External"/><Relationship Id="rId26" Type="http://schemas.openxmlformats.org/officeDocument/2006/relationships/hyperlink" Target="http://www.nevo.co.il/case/6025720" TargetMode="External"/><Relationship Id="rId27" Type="http://schemas.openxmlformats.org/officeDocument/2006/relationships/hyperlink" Target="http://www.nevo.co.il/case/11270564" TargetMode="External"/><Relationship Id="rId28" Type="http://schemas.openxmlformats.org/officeDocument/2006/relationships/hyperlink" Target="http://www.nevo.co.il/case/4173608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2020-03-05T08:50:00Z</dcterms:created>
  <dc:creator> </dc:creator>
  <dc:description/>
  <cp:keywords/>
  <dc:language>en-IL</dc:language>
  <cp:lastModifiedBy>h10</cp:lastModifiedBy>
  <dcterms:modified xsi:type="dcterms:W3CDTF">2020-03-05T08:50:00Z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שמשון ביינה</vt:lpwstr>
  </property>
  <property fmtid="{D5CDD505-2E9C-101B-9397-08002B2CF9AE}" pid="4" name="CASENOTES1">
    <vt:lpwstr>ProcID=133;209&amp;PartA=1508&amp;PartC=13</vt:lpwstr>
  </property>
  <property fmtid="{D5CDD505-2E9C-101B-9397-08002B2CF9AE}" pid="5" name="CASESLISTTMP1">
    <vt:lpwstr>23360962;8437593;20033653;5590183;5594421;25824863:2;8291746;22301096;23126918;7977368;18712155;7812324;20685193;6025720;11270564;4173608</vt:lpwstr>
  </property>
  <property fmtid="{D5CDD505-2E9C-101B-9397-08002B2CF9AE}" pid="6" name="CITY">
    <vt:lpwstr>י-ם</vt:lpwstr>
  </property>
  <property fmtid="{D5CDD505-2E9C-101B-9397-08002B2CF9AE}" pid="7" name="DATE">
    <vt:lpwstr>20200301</vt:lpwstr>
  </property>
  <property fmtid="{D5CDD505-2E9C-101B-9397-08002B2CF9AE}" pid="8" name="ISABSTRACT">
    <vt:lpwstr>Y</vt:lpwstr>
  </property>
  <property fmtid="{D5CDD505-2E9C-101B-9397-08002B2CF9AE}" pid="9" name="JUDGE">
    <vt:lpwstr>רבקה פרידמן פלדמן</vt:lpwstr>
  </property>
  <property fmtid="{D5CDD505-2E9C-101B-9397-08002B2CF9AE}" pid="10" name="LAWLISTTMP1">
    <vt:lpwstr>70301/333;335;040b;040c</vt:lpwstr>
  </property>
  <property fmtid="{D5CDD505-2E9C-101B-9397-08002B2CF9AE}" pid="11" name="NEWPARTA">
    <vt:lpwstr>14810</vt:lpwstr>
  </property>
  <property fmtid="{D5CDD505-2E9C-101B-9397-08002B2CF9AE}" pid="12" name="NEWPARTB">
    <vt:lpwstr>04</vt:lpwstr>
  </property>
  <property fmtid="{D5CDD505-2E9C-101B-9397-08002B2CF9AE}" pid="13" name="NEWPARTC">
    <vt:lpwstr>16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390020200301</vt:lpwstr>
  </property>
  <property fmtid="{D5CDD505-2E9C-101B-9397-08002B2CF9AE}" pid="18" name="TYPE_N_DATE">
    <vt:lpwstr>39020200301</vt:lpwstr>
  </property>
  <property fmtid="{D5CDD505-2E9C-101B-9397-08002B2CF9AE}" pid="19" name="WORDNUMPAGES">
    <vt:lpwstr>7</vt:lpwstr>
  </property>
</Properties>
</file>