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14976-07-22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קובס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9018" w:type="dxa"/>
        <w:jc w:val="start"/>
        <w:tblInd w:w="-27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18"/>
      </w:tblGrid>
      <w:tr>
        <w:trPr/>
        <w:tc>
          <w:tcPr>
            <w:tcW w:w="9018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ארז פורת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שי קובס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עתאבא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אשר בוסקילה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4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זאיד עווד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5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ראגב דבס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6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עבדאללה חליפה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7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חליל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8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עבד אל האדי איוב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sz w:val="6"/>
                <w:szCs w:val="6"/>
              </w:rPr>
            </w:pPr>
            <w:r>
              <w:rPr>
                <w:rFonts w:cs="David" w:ascii="David" w:hAnsi="David"/>
                <w:sz w:val="6"/>
                <w:szCs w:val="6"/>
                <w:rtl w:val="true"/>
              </w:rPr>
              <w:t>&lt;</w:t>
            </w:r>
            <w:r>
              <w:rPr>
                <w:rFonts w:cs="David" w:ascii="David" w:hAnsi="David"/>
                <w:sz w:val="6"/>
                <w:szCs w:val="6"/>
              </w:rPr>
              <w:t>#1#</w:t>
            </w:r>
            <w:r>
              <w:rPr>
                <w:rFonts w:cs="David" w:ascii="David" w:hAnsi="David"/>
                <w:sz w:val="6"/>
                <w:szCs w:val="6"/>
                <w:rtl w:val="true"/>
              </w:rPr>
              <w:t>&gt;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David" w:hAnsi="David" w:cs="David"/>
                <w:sz w:val="6"/>
                <w:szCs w:val="6"/>
              </w:rPr>
            </w:pPr>
            <w:r>
              <w:rPr>
                <w:rFonts w:cs="David" w:ascii="David" w:hAnsi="David"/>
                <w:sz w:val="6"/>
                <w:szCs w:val="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 xml:space="preserve">בעניינם הנאשמים </w:t>
      </w:r>
      <w:r>
        <w:rPr>
          <w:rFonts w:cs="David" w:ascii="David" w:hAnsi="David"/>
          <w:b/>
          <w:bCs/>
          <w:sz w:val="32"/>
          <w:szCs w:val="32"/>
          <w:u w:val="single"/>
        </w:rPr>
        <w:t>4-8</w:t>
      </w: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bookmarkStart w:id="9" w:name="ABSTRACT_START"/>
      <w:bookmarkEnd w:id="9"/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שיוחסה לו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שעניינה קשר 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רצח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עבירה לפי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סעיף </w:t>
      </w:r>
      <w:hyperlink r:id="rId6">
        <w:r>
          <w:rPr>
            <w:rStyle w:val="Hyperlink"/>
            <w:rFonts w:cs="Arial" w:ascii="Arial" w:hAnsi="Arial"/>
          </w:rPr>
          <w:t>499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והנאשמים </w:t>
      </w:r>
      <w:r>
        <w:rPr>
          <w:rFonts w:cs="Arial" w:ascii="Arial" w:hAnsi="Arial"/>
        </w:rPr>
        <w:t>5-8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הורשעו גם הם בעבירה זו בנוסף לעבירה שעניינה סיוע לעבירות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החזקה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סעיף </w:t>
      </w:r>
      <w:hyperlink r:id="rId8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</w:t>
      </w:r>
      <w:hyperlink r:id="rId9">
        <w:r>
          <w:rPr>
            <w:rStyle w:val="Hyperlink"/>
            <w:rFonts w:ascii="Arial" w:hAnsi="Arial" w:cs="Arial"/>
            <w:rtl w:val="true"/>
          </w:rPr>
          <w:t>וסעיף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כעולה מעובדות כתב האשום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לאחר שהנאשם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נפצע בשל פיצוץ מטען חבלה ברכב בו נסע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גמלה בלבו החלטה לנקום במי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שלסברתו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מעורב במעשה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לצורך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קשר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קשר עם כמה נאשמים ובענייננו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עם 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במסגרתו ביצע 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פעולות שונות לאיתור מי שהנאשם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סבר כי עמד מאחורי הפיצוץ ברכבו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כתב האישום מתאר כי במהלך שלושה שבועות בחודש מאי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פעל כדי לאתר את מי שהנאשם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 לפגוע בו וזאת באמצעות מעקב אחר כלי 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תצפיות על דירות והעברת מידע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תנועות אותם אלמונים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שהמידע כזה הגיע לידיעתו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בשלהי חודש מאי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החליט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הרצח יבוצע כלפי ב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שאת כתובתו ידע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בשלב זה צויין כי הנאשמים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זולת 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קשרו קשר שני שבמסגרתו יבצעו מעשה רצח כלפי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באמצעות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נאשם נוסף שכר דירה במקום סמוך ונאשם אחר הביא למקום שני אקדחים שהוחבאו בחצר בקרבת הדירה השכורה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תיאמו הנאשמים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שיובא בסמוך לדירה הקטנוע השייך לנאשם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הנאשמים </w:t>
      </w:r>
      <w:r>
        <w:rPr>
          <w:rFonts w:cs="Arial" w:ascii="Arial" w:hAnsi="Arial"/>
        </w:rPr>
        <w:t>5-8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שהו בדירה השכורה כמה שעות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שנעצרו על ידי המשטרה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לחובת 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הרשעה משנת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 סמים שבעטיין נדון למאסר ממשי בן שמונה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ולחובת הנאשם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הרשעה משנת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 נשק בעטיין נשא בעונש מאסר ממשי בן שנים עשר 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בשלב הטיעון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העיד 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ר ראוכברגר מטעמו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שחיווה דעתו כי סמוך לפני מועד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איבחן אצל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תסמונת פוסט טראומתית עם מרכיב פסיכוטי ולפיכך צויין כי קיימת היתכנות שהנאשם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פעל שלא באופן רציונאלי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בהתבסס על טיפול שקיבל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מהעד בחודש אפריל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אישר 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ר ראוכברגר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אי אפשר לדעת איך הוא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הוספה שלי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היה פועל הלאה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בהתייחס לאפשרות מימוש התכנית נשוא תיק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בטיעוניו לעונש 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על כי מדובר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פשיעה מאורגנת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תוך חבירה של כמה נאשמים לביצוע פעולת 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כנקמה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צויין כי מעשה הנקמה נמנע רק בשל פעולה מהירה של 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אין המקרה כאן מקים קירבה לסייג לאחריות הפלילית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בהינתן העדות של הפסיכיאטר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עמדו על כי המעשים כאן התמצו בדיבורים ממושכים שלא לבשו ממשות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אין ליתן למחשבתו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ולתכניתו פירוש רציונאלי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שבצידו סיכויי מימוש במציאות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 כי הקשר הראשון התמשך ימים רבים וחרף ידיעת המשטרה על הנעשה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נעשה לעצור את התכניות ואין זאת אלא ראיה שאף המשטרה לא ראתה סיכון קרוב מהקשר שנרקם כאן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לא הראשון ולא זה השני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הופניתי לפסיקה במקרים דומים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בדברם האחרון הביעו הנאשמים צער על המעשה וביקשו שלא למצות עמם את 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כבר נפסק כי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Quote"/>
        <w:ind w:end="1418"/>
        <w:jc w:val="both"/>
        <w:rPr/>
      </w:pP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499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לקבוץ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" (</w:t>
      </w:r>
      <w:hyperlink r:id="rId11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3315/04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שטרית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 </w:t>
      </w:r>
      <w:r>
        <w:rPr/>
        <w:t>2</w:t>
      </w:r>
      <w:r>
        <w:rPr>
          <w:rtl w:val="true"/>
        </w:rPr>
        <w:t xml:space="preserve">, </w:t>
      </w:r>
      <w:r>
        <w:rPr/>
        <w:t>413</w:t>
      </w:r>
      <w:r>
        <w:rPr>
          <w:rtl w:val="true"/>
        </w:rPr>
        <w:t xml:space="preserve">, </w:t>
      </w:r>
      <w:r>
        <w:rPr/>
        <w:t>431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האינטרס החברתי שנפגע ממעשי הנאשמים הינו פגיעה בטחון הציבור ובשלומו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חבירת כמה אנשים לביצוע מעשה עברייני יוצרת עמה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מניה וביה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סיכון עודף המקדם את אפשרות מימוש התכנית העבריינית של שיתוף פעולה שנרקם בין הקושרים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בעניינו של 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מידת הפגיעה כאן הינה ברף  הנמוך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בעת שהיה מעורב בקשר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נעשו מעשי הכנה כלליים והתכנית העבריינית היתה כללית וללא קווי ביצוע ידועים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בהתייחס לנאשמים </w:t>
      </w:r>
      <w:r>
        <w:rPr>
          <w:rFonts w:cs="Arial" w:ascii="Arial" w:hAnsi="Arial"/>
        </w:rPr>
        <w:t>5-8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אלו היו מעורבים בקשר כיומיים ואף כאן תכנית הפגיעה טרם לבשה ממשות ואופן ביצוע קונקרטי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הפגיעה באינטרס החברתי כאן הינה ברף הבינוני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בהתייחס לעבירת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הנאשמים </w:t>
      </w:r>
      <w:r>
        <w:rPr>
          <w:rFonts w:cs="Arial" w:ascii="Arial" w:hAnsi="Arial"/>
        </w:rPr>
        <w:t>5-8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נגעו בעצמם בכל הנשק והחזקתם בו היתה על דרך המודעות להימצאות האקדחים בסמיכות לדירה בה שהו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הקשר לא סוכם כי מי מהם יפעיל את הנשקים בשלב כלשהו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הפגיעה באינטרס החברתי בהיבט עבירה זו הינו ברף הנמוך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בנסיבות האמורות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בהן הקשר עצמו טרם לבש תכנית קונקרטית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ותפקידם של הנאשמים</w:t>
      </w:r>
      <w:r>
        <w:rPr>
          <w:rFonts w:cs="Arial" w:ascii="Arial" w:hAnsi="Arial"/>
          <w:rtl w:val="true"/>
        </w:rPr>
        <w:br/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5-8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כלל מעורבות במעשה ההמתה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יתבצע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כשהוטל ספק בדבר רציונליות התכנית העבריינית מלכתחילה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נוכח מצבו הנפשי של מחוללה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העונש ההולם הינו כלהלן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בהתייחס לנאשם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 מאסר ממשי הנע בין עשרה ועד שמונה עשר חודשי מאסר לריצוי בפועל לצד עונש מאסר על תנאי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בהתייחס לנאשמים </w:t>
      </w:r>
      <w:r>
        <w:rPr>
          <w:rFonts w:cs="Arial" w:ascii="Arial" w:hAnsi="Arial"/>
        </w:rPr>
        <w:t>5-8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ולגבי כלל העבירות עליהן יש להשקיף כארוע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העונש ההולם נע בין חמישה עשר ועד עשרים וחמישה חודשי מאסר ממשי לצד עונש מאסר מותנה וקנס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השוו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לעניין מתחמי 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hyperlink r:id="rId12">
        <w:r>
          <w:rPr>
            <w:rStyle w:val="Hyperlink"/>
            <w:rFonts w:cs="Arial" w:ascii="Arial" w:hAnsi="Arial"/>
            <w:color w:val="0000FF"/>
            <w:u w:val="single"/>
          </w:rPr>
          <w:t>56363-07-20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בן דוד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; </w:t>
      </w:r>
      <w:r>
        <w:rPr>
          <w:rFonts w:cs="Arial" w:ascii="Arial" w:hAnsi="Arial"/>
        </w:rPr>
        <w:t>30/5/22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 הובאו בפניי נימוקים המצדיקים סטייה מהמתחמים שנקבעו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לקולא או לחומרא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בגזירת עונשם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נתתי דעתי להודאתם בתיק מורכב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המכיל מסכת ארוכה עד מאוד של עדים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שהיו מחייבים שעות דיונים רבות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לנאשמים אין עבר פלילי מכביד בעבירות דומות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משבאנו עד 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לגזור את עונשם של הנאשמים על הצד המקל של המתחם כלהלן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4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עשרה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חודשי מאסר אשר יהוו עונש מאסר ממשי לריצוי בפועל ומניינם מיום מעצרו בתיק זה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21/6/22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לצד עונש זה ובנוסף אני גוזר לנאשם זה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ששה חודשי מאסר אותם לא יירצה אלא אם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ישוב ויעבור על העבירה בה הורשע בתיק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אני קונס את 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בסך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6,000</w:t>
      </w:r>
      <w:r>
        <w:rPr>
          <w:rFonts w:cs="Arial" w:ascii="Arial" w:hAnsi="Arial"/>
          <w:rtl w:val="true"/>
        </w:rPr>
        <w:t xml:space="preserve"> ₪) </w:t>
      </w:r>
      <w:r>
        <w:rPr>
          <w:rFonts w:ascii="Arial" w:hAnsi="Arial" w:cs="Arial"/>
          <w:rtl w:val="true"/>
        </w:rPr>
        <w:t xml:space="preserve">ששת אלפים ₪ שישולמו עד יום </w:t>
      </w:r>
      <w:r>
        <w:rPr>
          <w:rFonts w:cs="Arial" w:ascii="Arial" w:hAnsi="Arial"/>
        </w:rPr>
        <w:t>5/5/23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נוספים תמורת הקנס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תשלום הקנס יהווה תנאי לשחרור ממאסר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הנאשמים </w:t>
      </w:r>
      <w:r>
        <w:rPr>
          <w:rFonts w:cs="Arial" w:ascii="Arial" w:hAnsi="Arial"/>
          <w:b/>
          <w:bCs/>
          <w:u w:val="single"/>
        </w:rPr>
        <w:t>5-8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על כל אחד מהנאשמים מוטלים חמישה עשר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חודשי מאסר אשר יהוו עונש מאסר ממשי לריצוי בפועל ומניינם מיום </w:t>
      </w:r>
      <w:r>
        <w:rPr>
          <w:rFonts w:cs="Arial" w:ascii="Arial" w:hAnsi="Arial"/>
        </w:rPr>
        <w:t>1/6/22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לצד עונש זה ובנוסף אני גוזר לכל אחד מהנאשמים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שמונה חודשי מאסר אותם לא יירצה אלא אם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ישובו ויעברו עבירה שעניינה קשירת קשר לפשע או כל עבירה בנשק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אני קונס כל אחד מהנאשמים בשיעור של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6,000</w:t>
      </w:r>
      <w:r>
        <w:rPr>
          <w:rFonts w:cs="Arial" w:ascii="Arial" w:hAnsi="Arial"/>
          <w:rtl w:val="true"/>
        </w:rPr>
        <w:t xml:space="preserve"> ₪) </w:t>
      </w:r>
      <w:r>
        <w:rPr>
          <w:rFonts w:ascii="Arial" w:hAnsi="Arial" w:cs="Arial"/>
          <w:rtl w:val="true"/>
        </w:rPr>
        <w:t xml:space="preserve">ששת אלפים ₪ שישולמו עד יום </w:t>
      </w:r>
      <w:r>
        <w:rPr>
          <w:rFonts w:cs="Arial" w:ascii="Arial" w:hAnsi="Arial"/>
        </w:rPr>
        <w:t>5/5/23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או שלושה חודשי מאסר נוספים תמורת הקנס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תשלם הקנס יהווה תנאי לשחרור ממאסר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2" w:name="Nitan"/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סיוון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מאי </w:t>
      </w:r>
      <w:r>
        <w:rPr>
          <w:rFonts w:cs="Arial" w:ascii="Arial" w:hAnsi="Arial"/>
          <w:b/>
          <w:bCs/>
        </w:rPr>
        <w:t>2023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גב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גדיר ברהום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</w:t>
      </w:r>
      <w:bookmarkEnd w:id="12"/>
      <w:r>
        <w:rPr>
          <w:rFonts w:ascii="Arial" w:hAnsi="Arial" w:cs="Arial"/>
          <w:b/>
          <w:b/>
          <w:bCs/>
          <w:rtl w:val="true"/>
        </w:rPr>
        <w:t xml:space="preserve">הנאשמים </w:t>
      </w:r>
      <w:r>
        <w:rPr>
          <w:rFonts w:cs="Arial" w:ascii="Arial" w:hAnsi="Arial"/>
          <w:b/>
          <w:bCs/>
        </w:rPr>
        <w:t>4-8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ד זוהר ארבל והנאשמים  </w:t>
      </w:r>
      <w:r>
        <w:rPr>
          <w:rFonts w:cs="Arial" w:ascii="Arial" w:hAnsi="Arial"/>
          <w:b/>
          <w:bCs/>
        </w:rPr>
        <w:t>4-8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באמצעות הליווי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  <w:tab/>
        <w:tab/>
        <w:tab/>
        <w:tab/>
        <w:tab/>
      </w:r>
      <w:r>
        <w:rPr>
          <w:rFonts w:cs="Arial" w:ascii="Arial" w:hAnsi="Arial"/>
          <w:b/>
          <w:bCs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</w:t>
      </w:r>
      <w:r>
        <w:rPr>
          <w:rFonts w:cs="Arial" w:ascii="Arial" w:hAnsi="Arial"/>
          <w:b/>
          <w:bCs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ארז פורת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1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14976-07-22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 </w:t>
    </w:r>
    <w:r>
      <w:rPr>
        <w:rFonts w:ascii="David" w:hAnsi="David"/>
        <w:color w:val="000000"/>
        <w:sz w:val="22"/>
        <w:sz w:val="22"/>
        <w:szCs w:val="22"/>
        <w:rtl w:val="true"/>
      </w:rPr>
      <w:t>שי קובס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QuoteChar">
    <w:name w:val="Quote Char"/>
    <w:qFormat/>
    <w:rPr>
      <w:rFonts w:ascii="Times New Roman" w:hAnsi="Times New Roman" w:eastAsia="Times New Roman" w:cs="David"/>
      <w:i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e">
    <w:name w:val="Quote"/>
    <w:basedOn w:val="Normal"/>
    <w:next w:val="Normal"/>
    <w:qFormat/>
    <w:pPr>
      <w:spacing w:lineRule="auto" w:line="360" w:before="200" w:after="200"/>
      <w:ind w:hanging="0" w:start="1418" w:end="1418"/>
      <w:jc w:val="both"/>
    </w:pPr>
    <w:rPr>
      <w:i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99.a.1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5888111" TargetMode="External"/><Relationship Id="rId12" Type="http://schemas.openxmlformats.org/officeDocument/2006/relationships/hyperlink" Target="http://www.nevo.co.il/case/26873129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2024-04-07T08:42:00Z</dcterms:created>
  <dc:creator> </dc:creator>
  <dc:description/>
  <cp:keywords/>
  <dc:language>en-IL</dc:language>
  <cp:lastModifiedBy>h1</cp:lastModifiedBy>
  <dcterms:modified xsi:type="dcterms:W3CDTF">2024-04-07T08:42:00Z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 שי קובס;אחמד עתאבא;אשר בוסקילה;זאיד עווד;ראגב דבס; עבדאללה חליפה;מוחמד חליל; עבד אל האדי איוב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5888111;26873129</vt:lpwstr>
  </property>
  <property fmtid="{D5CDD505-2E9C-101B-9397-08002B2CF9AE}" pid="9" name="CITY">
    <vt:lpwstr>חי'</vt:lpwstr>
  </property>
  <property fmtid="{D5CDD505-2E9C-101B-9397-08002B2CF9AE}" pid="10" name="DATE">
    <vt:lpwstr>20230521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ארז פורת</vt:lpwstr>
  </property>
  <property fmtid="{D5CDD505-2E9C-101B-9397-08002B2CF9AE}" pid="14" name="LAWLISTTMP1">
    <vt:lpwstr>70301/499.a.1;144.a;031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14976</vt:lpwstr>
  </property>
  <property fmtid="{D5CDD505-2E9C-101B-9397-08002B2CF9AE}" pid="22" name="NEWPARTB">
    <vt:lpwstr>07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390020230521</vt:lpwstr>
  </property>
  <property fmtid="{D5CDD505-2E9C-101B-9397-08002B2CF9AE}" pid="34" name="TYPE_N_DATE">
    <vt:lpwstr>39020230521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