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34"/>
                <w:szCs w:val="34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כרמל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34"/>
                <w:szCs w:val="34"/>
              </w:rPr>
            </w:pPr>
            <w:r>
              <w:rPr>
                <w:rFonts w:cs="FrankRuehl"/>
                <w:b/>
                <w:bCs/>
                <w:sz w:val="34"/>
                <w:szCs w:val="34"/>
                <w:rtl w:val="true"/>
              </w:rPr>
            </w:r>
          </w:p>
        </w:tc>
        <w:tc>
          <w:tcPr>
            <w:tcW w:w="3674" w:type="dxa"/>
            <w:tcBorders/>
          </w:tcPr>
          <w:p>
            <w:pPr>
              <w:pStyle w:val="Normal"/>
              <w:ind w:end="0"/>
              <w:jc w:val="end"/>
              <w:rPr>
                <w:rFonts w:cs="FrankRuehl"/>
                <w:b/>
                <w:bCs/>
                <w:sz w:val="34"/>
                <w:szCs w:val="34"/>
              </w:rPr>
            </w:pP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ת</w:t>
            </w:r>
            <w:r>
              <w:rPr>
                <w:rFonts w:cs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30"/>
                <w:szCs w:val="30"/>
              </w:rPr>
              <w:t>14991-07-15</w:t>
            </w:r>
            <w:r>
              <w:rPr>
                <w:rFonts w:cs="FrankRuehl"/>
                <w:b/>
                <w:bCs/>
                <w:sz w:val="34"/>
                <w:szCs w:val="34"/>
                <w:rtl w:val="true"/>
              </w:rPr>
              <w:t xml:space="preserve"> </w:t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34"/>
                <w:szCs w:val="34"/>
              </w:rPr>
            </w:pPr>
            <w:r>
              <w:rPr>
                <w:rFonts w:cs="FrankRuehl"/>
                <w:b/>
                <w:bCs/>
                <w:sz w:val="34"/>
                <w:szCs w:val="34"/>
                <w:rtl w:val="true"/>
              </w:rPr>
            </w:r>
          </w:p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34"/>
                <w:szCs w:val="34"/>
              </w:rPr>
            </w:pPr>
            <w:r>
              <w:rPr>
                <w:rFonts w:cs="FrankRuehl"/>
                <w:b/>
                <w:bCs/>
                <w:sz w:val="34"/>
                <w:szCs w:val="34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b/>
          <w:bCs/>
          <w:sz w:val="30"/>
          <w:szCs w:val="30"/>
        </w:rPr>
      </w:pPr>
      <w:r>
        <w:rPr>
          <w:rFonts w:cs="Times New Roman"/>
          <w:b/>
          <w:bCs/>
          <w:sz w:val="30"/>
          <w:szCs w:val="30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  <w:rtl w:val="true"/>
        </w:rPr>
      </w:r>
    </w:p>
    <w:tbl>
      <w:tblPr>
        <w:bidiVisual w:val="true"/>
        <w:tblW w:w="8505" w:type="dxa"/>
        <w:jc w:val="start"/>
        <w:tblInd w:w="-16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83"/>
        <w:gridCol w:w="5922"/>
      </w:tblGrid>
      <w:tr>
        <w:trPr/>
        <w:tc>
          <w:tcPr>
            <w:tcW w:w="2583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ירושלים</w:t>
            </w:r>
          </w:p>
        </w:tc>
      </w:tr>
      <w:tr>
        <w:trPr/>
        <w:tc>
          <w:tcPr>
            <w:tcW w:w="8505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83" w:type="dxa"/>
            <w:tcBorders/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Lawyer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עלאא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עניינו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הסתיים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סאלחי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  <w:t xml:space="preserve">  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סימון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חדאד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257" w:before="0" w:after="160"/>
        <w:ind w:end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bookmarkStart w:id="7" w:name="PsakDin"/>
      <w:bookmarkEnd w:id="7"/>
      <w:r>
        <w:rPr>
          <w:rFonts w:ascii="Calibri" w:hAnsi="Calibri" w:cs="Calibri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Calibri" w:hAnsi="Calibri" w:cs="Calibri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Calibri" w:hAnsi="Calibri" w:cs="Calibri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257" w:before="0" w:after="160"/>
        <w:ind w:end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Calibri" w:hAnsi="Calibri" w:cs="Calibri"/>
          <w:b/>
          <w:b/>
          <w:bCs/>
          <w:sz w:val="32"/>
          <w:sz w:val="32"/>
          <w:szCs w:val="32"/>
          <w:u w:val="single"/>
          <w:rtl w:val="true"/>
        </w:rPr>
        <w:t xml:space="preserve">בעניינו של נאשם </w:t>
      </w:r>
      <w:r>
        <w:rPr>
          <w:rFonts w:cs="Calibri" w:ascii="Calibri" w:hAnsi="Calibri"/>
          <w:b/>
          <w:bCs/>
          <w:sz w:val="32"/>
          <w:szCs w:val="32"/>
          <w:u w:val="single"/>
        </w:rPr>
        <w:t>2</w:t>
      </w:r>
    </w:p>
    <w:p>
      <w:pPr>
        <w:pStyle w:val="Normal"/>
        <w:spacing w:lineRule="auto" w:line="257" w:before="0" w:after="160"/>
        <w:ind w:end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257" w:before="0" w:after="160"/>
        <w:ind w:end="0"/>
        <w:jc w:val="center"/>
        <w:rPr>
          <w:rFonts w:ascii="Calibri" w:hAnsi="Calibri" w:cs="Calibri"/>
          <w:b/>
          <w:bCs/>
          <w:sz w:val="32"/>
          <w:szCs w:val="32"/>
          <w:u w:val="single"/>
        </w:rPr>
      </w:pPr>
      <w:r>
        <w:rPr>
          <w:rFonts w:cs="Calibri" w:ascii="Calibri" w:hAnsi="Calibri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>.</w:t>
        <w:tab/>
      </w:r>
      <w:bookmarkStart w:id="9" w:name="ABSTRACT_START"/>
      <w:bookmarkEnd w:id="9"/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יסוד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בחבלה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329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)(</w:t>
        </w:r>
        <w:r>
          <w:rPr>
            <w:rStyle w:val="Hyperlink"/>
            <w:rFonts w:cs="Calibri" w:ascii="Calibri" w:hAnsi="Calibri"/>
            <w:color w:val="0000FF"/>
            <w:u w:val="single"/>
          </w:rPr>
          <w:t>1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hyperlink r:id="rId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 xml:space="preserve">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החוק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ובנשיאת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</w:t>
      </w:r>
      <w:r>
        <w:rPr>
          <w:rFonts w:ascii="Calibri" w:hAnsi="Calibri" w:cs="Calibri"/>
          <w:rtl w:val="true"/>
        </w:rPr>
        <w:t xml:space="preserve"> </w:t>
      </w:r>
      <w:hyperlink r:id="rId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א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)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לחוק</w:t>
      </w:r>
      <w:bookmarkStart w:id="10" w:name="ABSTRACT_END"/>
      <w:bookmarkEnd w:id="10"/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ואלה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המעשים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Calibri"/>
          <w:rtl w:val="true"/>
        </w:rPr>
        <w:t>בלילה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8-9/5/15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במהלכו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בפניו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חנינה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בירושלים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נהג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ברכב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חולצתו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בהגיעם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סימן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בעיניו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הוציא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: "</w:t>
      </w:r>
      <w:r>
        <w:rPr>
          <w:rFonts w:ascii="Calibri" w:hAnsi="Calibri" w:cs="Calibri"/>
          <w:b/>
          <w:b/>
          <w:bCs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")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מטרים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ברחו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תגביל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עצמה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חופשי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בטיעוניו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תבקש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להטיל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שיקבע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ידי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  <w:sz w:val="6"/>
          <w:szCs w:val="6"/>
        </w:rPr>
      </w:pPr>
      <w:r>
        <w:rPr>
          <w:rFonts w:cs="Calibri" w:ascii="Calibri" w:hAnsi="Calibri"/>
          <w:sz w:val="6"/>
          <w:szCs w:val="6"/>
          <w:rtl w:val="true"/>
        </w:rPr>
      </w:r>
    </w:p>
    <w:p>
      <w:pPr>
        <w:pStyle w:val="Normal"/>
        <w:spacing w:lineRule="auto" w:line="360" w:before="0" w:after="160"/>
        <w:ind w:firstLine="651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טיעונים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הורשע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ופוגעות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בזכותו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התקשר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העניינים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ביניהם </w:t>
      </w:r>
      <w:r>
        <w:rPr>
          <w:rFonts w:ascii="Calibri" w:hAnsi="Calibri" w:cs="Calibri"/>
          <w:rtl w:val="true"/>
        </w:rPr>
        <w:t>והוסכם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תפגשנה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במטרה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להשיג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סולחה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תישמר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הפסקת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למרות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לעק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מהשורש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הפכה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למכת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הפוגעת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ברקמה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ודורשת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מחמירה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אביו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מהירי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אוטומטי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ברגלי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וחלקם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פגע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הכניסה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שכן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בסמוך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לאביו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רחבה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ספרתי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</w:t>
      </w:r>
      <w:r>
        <w:rPr>
          <w:rFonts w:ascii="Calibri" w:hAnsi="Calibri" w:cs="Calibri"/>
          <w:rtl w:val="true"/>
        </w:rPr>
        <w:t>באה הפניה ל</w:t>
      </w:r>
      <w:r>
        <w:rPr>
          <w:rFonts w:ascii="Calibri" w:hAnsi="Calibri" w:cs="Calibri"/>
          <w:rtl w:val="true"/>
        </w:rPr>
        <w:t>פסיקה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2-8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עותרת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בהתאם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וקנס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תשפיע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נאשמים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הודגש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המכיל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בגינה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נדון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b/>
          <w:b/>
          <w:bCs/>
          <w:rtl w:val="true"/>
        </w:rPr>
        <w:t>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מנגד</w:t>
      </w:r>
      <w:r>
        <w:rPr>
          <w:rFonts w:cs="Calibri" w:ascii="Calibri" w:hAnsi="Calibri"/>
          <w:rtl w:val="true"/>
        </w:rPr>
        <w:t xml:space="preserve">, 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עובדות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צילום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רפואי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הטיפולים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הנלווים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ואיבד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עשתונותיו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שספג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חמורה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משמעותית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שספג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לטענת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למגר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תופעת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האלימות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טענה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הימנעותה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מהגשת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כתב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אישום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נגד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לירי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בכוונה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להפחיד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צפוי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הריקושטים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פלג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העליון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לכיוון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הרצפה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וניתן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ascii="Calibri" w:hAnsi="Calibri" w:cs="Calibri"/>
          <w:rtl w:val="true"/>
        </w:rPr>
        <w:t>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נפגע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מהרסיסים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כפי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שצוין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בבדיקה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במד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בפציעות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שטחיות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הניתוח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בתפירות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והרדמה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מקומית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בלבד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ולמחרת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שוחרר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הושגה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ושולם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סך של 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90,000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ביקש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במיוחס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ואף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עודד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בהליכים שהתנהלו כנגדם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חסך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יקר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עמדו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בעבודות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הנוסף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הוטלו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ולפיכך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עקרון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האחידות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בענישה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מחייב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להחמיר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לעונשים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לנסיבותיו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האישיות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נאלץ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לצאת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ונגרר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לחברה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עבריינית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בחמש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לבצע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יצא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מהאזור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וכמעט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התחתן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לפיכך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טוען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הסניגור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לנוע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18-30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והגיש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לתימוכין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נטען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צריך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–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651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מצטער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לפתור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בדרך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מפרנס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הביע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רצון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להשתקם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ולהמשיך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בשיקום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שהחל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ונמשך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651" w:end="0"/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/>
          <w:bCs/>
          <w:rtl w:val="true"/>
        </w:rPr>
        <w:t>דיון</w:t>
      </w:r>
    </w:p>
    <w:p>
      <w:pPr>
        <w:pStyle w:val="Normal"/>
        <w:spacing w:lineRule="auto" w:line="360" w:before="0" w:after="4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בענייננו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באירוע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הערכים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החברתיים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שנפגעו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ערך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החיים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שלמות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הגוף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כבוד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האדם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ביטחון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הפרט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והציבור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הפגיעה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רבה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וחמורה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החוק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לידיו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כשהוא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מלווה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ונתמך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באחרים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נסעו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באישון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מרכזי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מסיע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החבורה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ונושא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בהמשך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בשלב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העימות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למעורבותו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ולבסוף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מספר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ממרחק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קרוב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מאוד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סכסוך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קודם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יכול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להצדיק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זאת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במיוחד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ניסיונו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להגיע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פיוס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והסכמת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אבי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משפחתו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שהבטיח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רגיעה 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הצהריים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המחרת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לפגיעות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בגופו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אמנם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מהמסמ</w:t>
      </w:r>
      <w:r>
        <w:rPr>
          <w:rFonts w:ascii="Calibri" w:hAnsi="Calibri" w:cs="Calibri"/>
          <w:rtl w:val="true"/>
        </w:rPr>
        <w:t>כ</w:t>
      </w:r>
      <w:r>
        <w:rPr>
          <w:rFonts w:ascii="Calibri" w:hAnsi="Calibri" w:cs="Calibri"/>
          <w:rtl w:val="true"/>
        </w:rPr>
        <w:t>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הרפואיים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שהוגשו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הירי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לחדירת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רסיסים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כפות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רגליו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שתוארו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b/>
          <w:b/>
          <w:bCs/>
          <w:rtl w:val="true"/>
        </w:rPr>
        <w:t>מספר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חתכים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ופצעים</w:t>
      </w:r>
      <w:r>
        <w:rPr>
          <w:rFonts w:ascii="Calibri" w:hAnsi="Calibri" w:cs="Calibri"/>
          <w:b/>
          <w:b/>
          <w:bCs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שטחיים</w:t>
      </w:r>
      <w:r>
        <w:rPr>
          <w:rFonts w:cs="Calibri" w:ascii="Calibri" w:hAnsi="Calibri"/>
          <w:rtl w:val="true"/>
        </w:rPr>
        <w:t xml:space="preserve">", </w:t>
      </w:r>
      <w:r>
        <w:rPr>
          <w:rFonts w:ascii="Calibri" w:hAnsi="Calibri" w:cs="Calibri"/>
          <w:rtl w:val="true"/>
        </w:rPr>
        <w:t>אך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פוטנציאל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הסיכון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הטמון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במעשיו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ומשמעותי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חומרת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ביצועה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ותוצאותיה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מובילות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למסקנה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מתחם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ההולם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בעניינו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נע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   ל </w:t>
      </w:r>
      <w:r>
        <w:rPr>
          <w:rFonts w:ascii="Calibri" w:hAnsi="Calibri" w:cs="Calibri"/>
          <w:rtl w:val="true"/>
        </w:rPr>
        <w:t>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שנות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לריצוי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40"/>
        <w:ind w:start="72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>.</w:t>
        <w:tab/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יליד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1998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בגזירת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עונשו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בתוך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המתחם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להתחשב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לקולה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בהודאתו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שייעלה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הדיון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והביאה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לחיסכון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בזמן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שיפוטי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החרטה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והמוטיבציה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לשיקום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לייחס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משקל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לכך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סערת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רגשות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נוכח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פניו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המדממות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אחיו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ששב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</w:t>
      </w:r>
      <w:r>
        <w:rPr>
          <w:rFonts w:cs="Calibri" w:ascii="Calibri" w:hAnsi="Calibri"/>
          <w:rtl w:val="true"/>
        </w:rPr>
        <w:t>.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חתך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 פני</w:t>
      </w:r>
      <w:r>
        <w:rPr>
          <w:rFonts w:ascii="Calibri" w:hAnsi="Calibri" w:cs="Calibri"/>
          <w:rtl w:val="true"/>
        </w:rPr>
        <w:t>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העובדה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הצדדים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הושגה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עטוואה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המסדירה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תשלום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דינר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ירדני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למשפחת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המתלונן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מסמך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זה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הוגש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כראיה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ומידת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הנזק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שנגרמה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מאידך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לחובתו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נזקף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עברו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הפלילי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הרשעות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הראשונה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2007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גרימת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מוות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והשנ</w:t>
      </w:r>
      <w:r>
        <w:rPr>
          <w:rFonts w:ascii="Calibri" w:hAnsi="Calibri" w:cs="Calibri"/>
          <w:rtl w:val="true"/>
        </w:rPr>
        <w:t>י</w:t>
      </w:r>
      <w:r>
        <w:rPr>
          <w:rFonts w:ascii="Calibri" w:hAnsi="Calibri" w:cs="Calibri"/>
          <w:rtl w:val="true"/>
        </w:rPr>
        <w:t>יה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משנת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2012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שוהה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בלתי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חוקי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ועבירת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רכוש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כמו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להביא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השיקולים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שהושתה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יתר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המשפחה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המעורבים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בפרשה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הסכמות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המאשימה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הסדר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הטיעון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בנסיבות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שקלול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האמור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לעיל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אני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גוזר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כלהלן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36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החל מיום מעצרו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תנאי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לתקופה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חודשים והתנאי הוא שהנאשם לא יעבור עבירה מסוג פשע בתוך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מיום שחרורו ממאסר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360" w:start="72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פיצוי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למתלוננים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בסך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5,000</w:t>
      </w:r>
      <w:r>
        <w:rPr>
          <w:rFonts w:cs="Calibri" w:ascii="Calibri" w:hAnsi="Calibri"/>
          <w:rtl w:val="true"/>
        </w:rPr>
        <w:t xml:space="preserve"> </w:t>
      </w:r>
      <w:r>
        <w:rPr>
          <w:rFonts w:cs="Times New Roman"/>
          <w:rtl w:val="true"/>
        </w:rPr>
        <w:t>₪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firstLine="36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ind w:firstLine="360"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firstLine="36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 אלול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בעצמו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pPr w:vertAnchor="text" w:horzAnchor="page" w:leftFromText="180" w:rightFromText="180" w:tblpX="1085" w:tblpY="306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4"/>
      </w:tblGrid>
      <w:tr>
        <w:trPr/>
        <w:tc>
          <w:tcPr>
            <w:tcW w:w="244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44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רפי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כרמל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רפי כרמל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 </w:t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14991-07-15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עלאא סאלחי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עניינו הסתיים</w:t>
    </w:r>
    <w:r>
      <w:rPr>
        <w:rFonts w:cs="David" w:ascii="David" w:hAnsi="David"/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advertisements/nevo-100.doc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2017-07-20T14:06:00Z</dcterms:created>
  <dc:creator> </dc:creator>
  <dc:description/>
  <cp:keywords/>
  <dc:language>en-IL</dc:language>
  <cp:lastModifiedBy>run</cp:lastModifiedBy>
  <dcterms:modified xsi:type="dcterms:W3CDTF">2017-07-20T14:06:00Z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עלאא סאלחי;מוחמד סאלחי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20160926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רפי כרמל</vt:lpwstr>
  </property>
  <property fmtid="{D5CDD505-2E9C-101B-9397-08002B2CF9AE}" pid="13" name="LAWLISTTMP1">
    <vt:lpwstr>70301/329.a.1;144.a</vt:lpwstr>
  </property>
  <property fmtid="{D5CDD505-2E9C-101B-9397-08002B2CF9AE}" pid="14" name="LAWYER">
    <vt:lpwstr>סימון חדאד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14991</vt:lpwstr>
  </property>
  <property fmtid="{D5CDD505-2E9C-101B-9397-08002B2CF9AE}" pid="21" name="NEWPARTB">
    <vt:lpwstr>07</vt:lpwstr>
  </property>
  <property fmtid="{D5CDD505-2E9C-101B-9397-08002B2CF9AE}" pid="22" name="NEWPARTC">
    <vt:lpwstr>15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390020160926</vt:lpwstr>
  </property>
  <property fmtid="{D5CDD505-2E9C-101B-9397-08002B2CF9AE}" pid="33" name="TYPE_N_DATE">
    <vt:lpwstr>39020160926</vt:lpwstr>
  </property>
  <property fmtid="{D5CDD505-2E9C-101B-9397-08002B2CF9AE}" pid="34" name="VOLUME">
    <vt:lpwstr/>
  </property>
  <property fmtid="{D5CDD505-2E9C-101B-9397-08002B2CF9AE}" pid="35" name="WORDNUMPAGES">
    <vt:lpwstr>4</vt:lpwstr>
  </property>
</Properties>
</file>