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636"/>
        <w:gridCol w:w="61"/>
        <w:gridCol w:w="2339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ind w:end="0"/>
              <w:jc w:val="start"/>
              <w:rPr>
                <w:vanish/>
                <w:highlight w:val="yellow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0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15132-02-09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ביזאוי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3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עליזה ביזאוי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קנטר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הנאשמת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הנאשמת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גלעד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קצינת המבחן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ניבאל דאהר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הואשמה בעבירות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החזקת תחמושת שלא כדין והחזקת סמים בכמות המוחזקת ככמות שאיננה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הודתה בהזדמנות 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לחובתה הרשעות קודמות בעבירות מסוג אחר</w:t>
      </w:r>
      <w:r>
        <w:rPr>
          <w:rtl w:val="true"/>
        </w:rPr>
        <w:t xml:space="preserve">, </w:t>
      </w:r>
      <w:r>
        <w:rPr>
          <w:rtl w:val="true"/>
        </w:rPr>
        <w:t>הטרדה טלפונית</w:t>
      </w:r>
      <w:r>
        <w:rPr>
          <w:rtl w:val="true"/>
        </w:rPr>
        <w:t xml:space="preserve">, </w:t>
      </w:r>
      <w:r>
        <w:rPr>
          <w:rtl w:val="true"/>
        </w:rPr>
        <w:t xml:space="preserve">תקיפה ואיומים אולם מדובר בהרשעות משנת </w:t>
      </w:r>
      <w:r>
        <w:rPr/>
        <w:t>1992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התקבל תסקיר בעניינה של הנאשמת אשר פירט את נסיבותיה האישות</w:t>
      </w:r>
      <w:r>
        <w:rPr>
          <w:rtl w:val="true"/>
        </w:rPr>
        <w:t xml:space="preserve">, </w:t>
      </w:r>
      <w:r>
        <w:rPr>
          <w:rtl w:val="true"/>
        </w:rPr>
        <w:t>את הרקע לבצוע העבירות ואת ההמלצה שלא למצות הדין עמה אלא להטיל עליה צו מבחן</w:t>
      </w:r>
      <w:r>
        <w:rPr>
          <w:rtl w:val="true"/>
        </w:rPr>
        <w:t xml:space="preserve">, </w:t>
      </w:r>
      <w:r>
        <w:rPr>
          <w:rtl w:val="true"/>
        </w:rPr>
        <w:t>כמו גם</w:t>
      </w:r>
      <w:r>
        <w:rPr>
          <w:rtl w:val="true"/>
        </w:rPr>
        <w:t xml:space="preserve">, </w:t>
      </w:r>
      <w:r>
        <w:rPr>
          <w:rtl w:val="true"/>
        </w:rPr>
        <w:t>ענישה מותנית לתקופה 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טענו לעונש והציגו פסיקה התומכת בטעוניהם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התייצבו עדי אופי </w:t>
      </w:r>
      <w:r>
        <w:rPr>
          <w:rtl w:val="true"/>
        </w:rPr>
        <w:t>–</w:t>
      </w:r>
      <w:r>
        <w:rPr>
          <w:rtl w:val="true"/>
        </w:rPr>
        <w:t xml:space="preserve"> אביה של הנאשמת ואחיינה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התרשמתי לחיוב מיסודיות התסקיר ומהעבודה המעמיקה שעשה קצין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לוקחת אחריות על בצוע העבירות והגם שברור כי היה עליה לדווח למשטרה על מציאת הנשק</w:t>
      </w:r>
      <w:r>
        <w:rPr>
          <w:rtl w:val="true"/>
        </w:rPr>
        <w:t xml:space="preserve">, </w:t>
      </w:r>
      <w:r>
        <w:rPr>
          <w:rtl w:val="true"/>
        </w:rPr>
        <w:t xml:space="preserve">אין כל אינדיקציה כי נעשה בנשק שמוש ואין אפשרות להפריך את גרסתה באשר לנסיבות הגעת הנשק והסמים </w:t>
      </w:r>
      <w:r>
        <w:rPr>
          <w:rtl w:val="true"/>
        </w:rPr>
        <w:t>–</w:t>
      </w:r>
      <w:r>
        <w:rPr>
          <w:rtl w:val="true"/>
        </w:rPr>
        <w:t xml:space="preserve"> לידיה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כתב האישום הוחזקה התחמושת בנפרד מהנשק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לגבי הסמים </w:t>
      </w:r>
      <w:r>
        <w:rPr>
          <w:rtl w:val="true"/>
        </w:rPr>
        <w:t>–</w:t>
      </w:r>
      <w:r>
        <w:rPr>
          <w:rtl w:val="true"/>
        </w:rPr>
        <w:t xml:space="preserve"> מדובר בסם מסוג חשיש במשקל נטו של </w:t>
      </w:r>
      <w:r>
        <w:rPr/>
        <w:t>59.4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 xml:space="preserve">והגם שמדובר בכמות של פי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מהכמות של צריכה עצמית</w:t>
      </w:r>
      <w:r>
        <w:rPr>
          <w:rtl w:val="true"/>
        </w:rPr>
        <w:t xml:space="preserve">, </w:t>
      </w:r>
      <w:r>
        <w:rPr>
          <w:rtl w:val="true"/>
        </w:rPr>
        <w:t>לא ניתן להתעלם מסוג הסם</w:t>
      </w:r>
      <w:r>
        <w:rPr>
          <w:rtl w:val="true"/>
        </w:rPr>
        <w:t xml:space="preserve">, </w:t>
      </w:r>
      <w:r>
        <w:rPr>
          <w:rtl w:val="true"/>
        </w:rPr>
        <w:t>מכמותו ומנסיבות ההחזקה</w:t>
      </w:r>
      <w:r>
        <w:rPr>
          <w:rtl w:val="true"/>
        </w:rPr>
        <w:t xml:space="preserve">, </w:t>
      </w:r>
      <w:r>
        <w:rPr>
          <w:rtl w:val="true"/>
        </w:rPr>
        <w:t>גם בעניין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נסיבותיה האישיות של הנאשמת קשות</w:t>
      </w:r>
      <w:r>
        <w:rPr>
          <w:rtl w:val="true"/>
        </w:rPr>
        <w:t xml:space="preserve">. </w:t>
      </w:r>
      <w:r>
        <w:rPr>
          <w:rtl w:val="true"/>
        </w:rPr>
        <w:t>היא עברה טראומות קשות במהלך חייה</w:t>
      </w:r>
      <w:r>
        <w:rPr>
          <w:rtl w:val="true"/>
        </w:rPr>
        <w:t xml:space="preserve">. </w:t>
      </w:r>
      <w:r>
        <w:rPr>
          <w:rtl w:val="true"/>
        </w:rPr>
        <w:t>היא סובלת ממחלות ומבעיות חברתיות לא פשוטות</w:t>
      </w:r>
      <w:r>
        <w:rPr>
          <w:rtl w:val="true"/>
        </w:rPr>
        <w:t xml:space="preserve">, </w:t>
      </w:r>
      <w:r>
        <w:rPr>
          <w:rtl w:val="true"/>
        </w:rPr>
        <w:t>כמפורט 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 כל אלה הנאשמת תפקדה פחות או יותר באורח נורמטיבי ועבדה ככח עזר בבית החולים בנהריה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קצין המבחן מתרשם כי ההליכים המשפטיים</w:t>
      </w:r>
      <w:r>
        <w:rPr>
          <w:rtl w:val="true"/>
        </w:rPr>
        <w:t xml:space="preserve">, </w:t>
      </w:r>
      <w:r>
        <w:rPr>
          <w:rtl w:val="true"/>
        </w:rPr>
        <w:t>המעצר ומעצר הבית מהווים גורם משמעותי ואף אני מתרשמת 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משפט זה ער לפסיקה ביחס לעבירות של החזק נשק אך כידוע הענישה היא אינדיבידואלית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שבפניי נראה כי יש מקום לאמץ את המלצות התסקיר</w:t>
      </w:r>
      <w:r>
        <w:rPr>
          <w:rtl w:val="true"/>
        </w:rPr>
        <w:t xml:space="preserve">, </w:t>
      </w:r>
      <w:r>
        <w:rPr>
          <w:rtl w:val="true"/>
        </w:rPr>
        <w:t>שכן להתרשמות קצינת המבחן הנאשמת מבינה את המחוייבות בתהליך הטפולי</w:t>
      </w:r>
      <w:r>
        <w:rPr>
          <w:rtl w:val="true"/>
        </w:rPr>
        <w:t xml:space="preserve">, </w:t>
      </w:r>
      <w:r>
        <w:rPr>
          <w:rtl w:val="true"/>
        </w:rPr>
        <w:t>מביעה נזקקות לטפול ונוטלת 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מעמידה את הנאשמת בצו מבחן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במהלכו תמשיך בטפול הפרטני ובמידת הצורך תשולב בקבוצה האמורה להפתח ביחס לנשים  עוברות 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דנה את הנאשמת למאסר על תנאי 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כי לא תעבור עבירה  על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וכן עבירה מסוג פשע על 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 לב הנאשמת להשלכות אי עמידה בצו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 והתחמושת יוחזרו לבעלים והסמים 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מואטי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/Users/liorb/Downloads/study2025-p2/SH-09-02-15132-761.doc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15132-02-09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עליזה ביזאוי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5132-02-09"/>
    <w:docVar w:name="caseId" w:val="12159805"/>
    <w:docVar w:name="deriveClass" w:val="NGCS.Protocol.BL.Client.ProtocolBLClientCriminal"/>
    <w:docVar w:name="firstPageNumber" w:val="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48317"/>
    <w:docVar w:name="releaseSign" w:val="0"/>
    <w:docVar w:name="sittingDateTime" w:val="01/06/2009 09:40     "/>
    <w:docVar w:name="sittingId" w:val="1554475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2009-06-01T23:23:00Z</dcterms:created>
  <dc:creator> </dc:creator>
  <dc:description/>
  <cp:keywords/>
  <dc:language>en-IL</dc:language>
  <cp:lastModifiedBy>hofit</cp:lastModifiedBy>
  <cp:lastPrinted>2009-06-01T11:14:00Z</cp:lastPrinted>
  <dcterms:modified xsi:type="dcterms:W3CDTF">2009-06-02T08:06:00Z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עליזה ביזאוי</vt:lpwstr>
  </property>
  <property fmtid="{D5CDD505-2E9C-101B-9397-08002B2CF9AE}" pid="4" name="CITY">
    <vt:lpwstr>קריות</vt:lpwstr>
  </property>
  <property fmtid="{D5CDD505-2E9C-101B-9397-08002B2CF9AE}" pid="5" name="DATE">
    <vt:lpwstr>20090601</vt:lpwstr>
  </property>
  <property fmtid="{D5CDD505-2E9C-101B-9397-08002B2CF9AE}" pid="6" name="DELEMATA">
    <vt:lpwstr/>
  </property>
  <property fmtid="{D5CDD505-2E9C-101B-9397-08002B2CF9AE}" pid="7" name="JUDGE">
    <vt:lpwstr>אורית קנטור</vt:lpwstr>
  </property>
  <property fmtid="{D5CDD505-2E9C-101B-9397-08002B2CF9AE}" pid="8" name="LAWYER">
    <vt:lpwstr>קנטר;גלעד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15132</vt:lpwstr>
  </property>
  <property fmtid="{D5CDD505-2E9C-101B-9397-08002B2CF9AE}" pid="22" name="NEWPARTB">
    <vt:lpwstr>02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380020090601</vt:lpwstr>
  </property>
  <property fmtid="{D5CDD505-2E9C-101B-9397-08002B2CF9AE}" pid="34" name="TYPE_N_DATE">
    <vt:lpwstr>38020090601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