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5"/>
        <w:gridCol w:w="36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290" w:hRule="atLeast"/>
        </w:trPr>
        <w:tc>
          <w:tcPr>
            <w:tcW w:w="5045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15423-12-19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רוש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76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באוגוסט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2020</w:t>
            </w:r>
          </w:p>
        </w:tc>
      </w:tr>
      <w:tr>
        <w:trPr>
          <w:trHeight w:val="337" w:hRule="atLeast"/>
        </w:trPr>
        <w:tc>
          <w:tcPr>
            <w:tcW w:w="5045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before="120" w:after="120"/>
        <w:ind w:end="0"/>
        <w:jc w:val="start"/>
        <w:rPr>
          <w:rFonts w:ascii="David" w:hAnsi="David" w:cs="David"/>
        </w:rPr>
      </w:pPr>
      <w:bookmarkStart w:id="0" w:name="LastJudge"/>
      <w:bookmarkEnd w:id="0"/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906"/>
        <w:gridCol w:w="3582"/>
      </w:tblGrid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0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82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06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82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0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איתמר רוש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82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58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eastAsia="he-IL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חודשי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מיום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מעצרו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והפעלת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תנאי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lang w:eastAsia="he-IL"/>
        </w:rPr>
        <w:t>12</w:t>
      </w:r>
      <w:r>
        <w:rPr>
          <w:rFonts w:cs="FrankRuehl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החודשים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התלוי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ועומד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נגדו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המליצו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ולהפעיל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מחציתו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ומחציתו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שבסה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המסוגלת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משייכת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לקטגוריית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ומשמעויותיה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</w:t>
      </w:r>
      <w:r>
        <w:rPr>
          <w:rFonts w:cs="FrankRuehl"/>
          <w:szCs w:val="26"/>
          <w:rtl w:val="true"/>
        </w:rPr>
        <w:t>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נהוגה</w:t>
      </w:r>
      <w:r>
        <w:rPr>
          <w:rFonts w:cs="FrankRuehl"/>
          <w:szCs w:val="26"/>
          <w:rtl w:val="true"/>
          <w:lang w:eastAsia="he-IL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בשיטתנו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אישורו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המתמצת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גושפנקה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פורמאלית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עניינית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פשוטו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כמשמעו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מורתע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שחרורו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למאסרו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להפעיל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19.11.19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,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,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פרוסות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שיוצג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שהותווה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אלך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>'.</w:t>
      </w:r>
    </w:p>
    <w:p>
      <w:pPr>
        <w:pStyle w:val="Normal"/>
        <w:spacing w:lineRule="auto" w:line="360"/>
        <w:ind w:firstLine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tl w:val="true"/>
        </w:rPr>
        <w:t xml:space="preserve">, </w:t>
      </w:r>
      <w:r>
        <w:rPr>
          <w:rtl w:val="true"/>
        </w:rPr>
        <w:t>עדתית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חמולה</w:t>
      </w:r>
      <w:r>
        <w:rPr>
          <w:rtl w:val="true"/>
        </w:rPr>
        <w:t xml:space="preserve">",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שעשוע</w:t>
      </w:r>
      <w:r>
        <w:rPr>
          <w:rtl w:val="true"/>
        </w:rPr>
        <w:t>.</w:t>
      </w:r>
      <w:r>
        <w:rPr>
          <w:rtl w:val="true"/>
        </w:rPr>
        <w:tab/>
        <w:tab/>
      </w:r>
    </w:p>
    <w:p>
      <w:pPr>
        <w:pStyle w:val="Normal"/>
        <w:spacing w:lineRule="auto" w:line="360"/>
        <w:ind w:firstLine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</w:t>
      </w:r>
      <w:r>
        <w:rPr>
          <w:rtl w:val="true"/>
        </w:rPr>
        <w:t xml:space="preserve">."  - </w:t>
      </w:r>
      <w:hyperlink r:id="rId7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16.08.82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tl w:val="true"/>
        </w:rPr>
        <w:t xml:space="preserve">, </w:t>
      </w:r>
      <w:r>
        <w:rPr>
          <w:rtl w:val="true"/>
        </w:rPr>
        <w:t>משייכת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התגשמותה</w:t>
      </w:r>
      <w:r>
        <w:rPr>
          <w:rtl w:val="true"/>
        </w:rPr>
        <w:t xml:space="preserve">,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ובטחונו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והשווה</w:t>
      </w:r>
      <w:r>
        <w:rPr>
          <w:rFonts w:cs="Times New Roman"/>
          <w:rtl w:val="true"/>
          <w:lang w:eastAsia="he-IL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29.11.18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05.11.19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4530/19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זאווי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11.08.19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18.07.19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ואמיס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26.07.18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4354/18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29.11.18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29.09.13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25.10.10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21.2.12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14.09.11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22.02.07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17.11.05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-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תיאום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לבדו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הגביר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ברח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מהשוטרים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Style12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ורצויות</w:t>
      </w:r>
      <w:r>
        <w:rPr>
          <w:rtl w:val="true"/>
        </w:rPr>
        <w:t xml:space="preserve">. </w:t>
      </w:r>
      <w:r>
        <w:rPr>
          <w:rtl w:val="true"/>
        </w:rPr>
        <w:t>יתרונותיהם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</w:t>
      </w:r>
      <w:r>
        <w:rPr>
          <w:rtl w:val="true"/>
        </w:rPr>
        <w:t xml:space="preserve">,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ומובהקים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30.4.17</w:t>
      </w:r>
      <w:r>
        <w:rPr>
          <w:rtl w:val="true"/>
        </w:rPr>
        <w:t xml:space="preserve">)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tl w:val="true"/>
        </w:rPr>
        <w:t xml:space="preserve">, </w:t>
      </w:r>
      <w:r>
        <w:rPr>
          <w:rtl w:val="true"/>
        </w:rPr>
        <w:t>המתמצת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גושפנקה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עניינית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25.12.02</w:t>
      </w:r>
      <w:r>
        <w:rPr>
          <w:rtl w:val="true"/>
        </w:rPr>
        <w:t xml:space="preserve">)            </w:t>
      </w:r>
      <w:r>
        <w:rPr>
          <w:rtl w:val="true"/>
        </w:rPr>
        <w:t>ו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4.12.13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המייצגת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,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."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,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מציגות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 </w:t>
      </w:r>
      <w:r>
        <w:rPr>
          <w:rtl w:val="true"/>
        </w:rPr>
        <w:t>להתוויית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השגרתי</w:t>
      </w:r>
      <w:r>
        <w:rPr>
          <w:rtl w:val="true"/>
        </w:rPr>
        <w:t xml:space="preserve">, </w:t>
      </w:r>
      <w:r>
        <w:rPr>
          <w:rtl w:val="true"/>
        </w:rPr>
        <w:t>הפשוט</w:t>
      </w:r>
      <w:r>
        <w:rPr>
          <w:rtl w:val="true"/>
        </w:rPr>
        <w:t>, 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  <w:r>
        <w:rPr>
          <w:rtl w:val="true"/>
        </w:rPr>
        <w:t>וככתוב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10,11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ומאפייניו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"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";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tl w:val="true"/>
        </w:rPr>
        <w:t>/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>/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tl w:val="true"/>
        </w:rPr>
        <w:t>/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בשוגג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מתייגות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והודאת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tl w:val="true"/>
        </w:rPr>
        <w:t xml:space="preserve">, </w:t>
      </w:r>
      <w:r>
        <w:rPr>
          <w:rtl w:val="true"/>
        </w:rPr>
        <w:t>ייתור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רגישה</w:t>
      </w:r>
      <w:r>
        <w:rPr>
          <w:rtl w:val="true"/>
        </w:rPr>
        <w:t xml:space="preserve">,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וכד</w:t>
      </w:r>
      <w:r>
        <w:rPr>
          <w:rtl w:val="true"/>
        </w:rPr>
        <w:t xml:space="preserve">' -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דחייתו</w:t>
      </w:r>
      <w:r>
        <w:rPr>
          <w:rtl w:val="true"/>
        </w:rPr>
        <w:t xml:space="preserve">,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;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31108-04-16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לנתניה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tl w:val="true"/>
        </w:rPr>
        <w:t xml:space="preserve">,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,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ליזימת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חשמלית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אלחוטית</w:t>
      </w:r>
      <w:r>
        <w:rPr>
          <w:rtl w:val="true"/>
        </w:rPr>
        <w:t xml:space="preserve">, </w:t>
      </w:r>
      <w:r>
        <w:rPr>
          <w:rtl w:val="true"/>
        </w:rPr>
        <w:t>ולוח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",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,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, "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ציווה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tl w:val="true"/>
        </w:rPr>
        <w:t xml:space="preserve">". </w:t>
      </w:r>
      <w:r>
        <w:rPr>
          <w:rtl w:val="true"/>
        </w:rPr>
        <w:t>והחוק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  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  <w:lang w:eastAsia="he-IL"/>
        </w:rPr>
        <w:t>המלחמה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בעבריינות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סכנת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וההיקף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ברטוריקה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ומורגש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שיהלום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המשקלל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612-613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 xml:space="preserve">. </w:t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והציבור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31108-04-16</w:t>
        </w:r>
      </w:hyperlink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ובסה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. 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bookmarkStart w:id="8" w:name="Nitan"/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11/08/2020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bookmarkEnd w:id="8"/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12"/>
        <w:spacing w:lineRule="auto" w:line="360"/>
        <w:ind w:end="0"/>
        <w:jc w:val="both"/>
        <w:rPr/>
      </w:pPr>
      <w:r>
        <w:rPr>
          <w:rFonts w:cs="David" w:ascii="David" w:hAnsi="David"/>
          <w:b w:val="false"/>
          <w:bCs w:val="false"/>
          <w:color w:val="FFFFFF"/>
          <w:sz w:val="6"/>
          <w:szCs w:val="6"/>
          <w:u w:val="none"/>
        </w:rPr>
        <w:t>5129371</w:t>
      </w:r>
      <w:r>
        <w:rPr>
          <w:rtl w:val="true"/>
        </w:rPr>
        <w:t>&lt;</w:t>
      </w:r>
      <w:r>
        <w:rPr/>
        <w:t>#5#</w:t>
      </w:r>
      <w:r>
        <w:rPr>
          <w:rtl w:val="true"/>
        </w:rPr>
        <w:t>&gt;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u w:val="single"/>
        </w:rPr>
      </w:pP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u w:val="single"/>
        </w:rPr>
      </w:pPr>
      <w:r>
        <w:rPr>
          <w:rFonts w:cs="David" w:ascii="David" w:hAnsi="David"/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15423-12-19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איתמר רוש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ללא מרווח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8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17929065" TargetMode="External"/><Relationship Id="rId8" Type="http://schemas.openxmlformats.org/officeDocument/2006/relationships/hyperlink" Target="http://www.nevo.co.il/case/24140726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5836997" TargetMode="External"/><Relationship Id="rId11" Type="http://schemas.openxmlformats.org/officeDocument/2006/relationships/hyperlink" Target="http://www.nevo.co.il/case/25612982" TargetMode="External"/><Relationship Id="rId12" Type="http://schemas.openxmlformats.org/officeDocument/2006/relationships/hyperlink" Target="http://www.nevo.co.il/case/23850962" TargetMode="External"/><Relationship Id="rId13" Type="http://schemas.openxmlformats.org/officeDocument/2006/relationships/hyperlink" Target="http://www.nevo.co.il/case/24269595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5950172" TargetMode="External"/><Relationship Id="rId16" Type="http://schemas.openxmlformats.org/officeDocument/2006/relationships/hyperlink" Target="http://www.nevo.co.il/case/5878682" TargetMode="External"/><Relationship Id="rId17" Type="http://schemas.openxmlformats.org/officeDocument/2006/relationships/hyperlink" Target="http://www.nevo.co.il/case/6151556" TargetMode="External"/><Relationship Id="rId18" Type="http://schemas.openxmlformats.org/officeDocument/2006/relationships/hyperlink" Target="http://www.nevo.co.il/case/5724364" TargetMode="External"/><Relationship Id="rId19" Type="http://schemas.openxmlformats.org/officeDocument/2006/relationships/hyperlink" Target="http://www.nevo.co.il/case/5859902" TargetMode="External"/><Relationship Id="rId20" Type="http://schemas.openxmlformats.org/officeDocument/2006/relationships/hyperlink" Target="http://www.nevo.co.il/case/22294063" TargetMode="External"/><Relationship Id="rId21" Type="http://schemas.openxmlformats.org/officeDocument/2006/relationships/hyperlink" Target="http://www.nevo.co.il/case/161892" TargetMode="External"/><Relationship Id="rId22" Type="http://schemas.openxmlformats.org/officeDocument/2006/relationships/hyperlink" Target="http://www.nevo.co.il/case/5569233" TargetMode="External"/><Relationship Id="rId23" Type="http://schemas.openxmlformats.org/officeDocument/2006/relationships/hyperlink" Target="http://www.nevo.co.il/case/21304291" TargetMode="External"/><Relationship Id="rId24" Type="http://schemas.openxmlformats.org/officeDocument/2006/relationships/hyperlink" Target="http://www.nevo.co.il/law/70301/5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61892" TargetMode="External"/><Relationship Id="rId27" Type="http://schemas.openxmlformats.org/officeDocument/2006/relationships/hyperlink" Target="http://www.nevo.co.il/case/2130429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2020-08-25T07:56:00Z</dcterms:created>
  <dc:creator> </dc:creator>
  <dc:description/>
  <cp:keywords/>
  <dc:language>en-IL</dc:language>
  <cp:lastModifiedBy>orly</cp:lastModifiedBy>
  <dcterms:modified xsi:type="dcterms:W3CDTF">2020-08-25T07:56:00Z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איתמר רוש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17929065;24140726;25824863;25836997;25612982;23850962;24269595;6949290;5950172;5878682;6151556;5724364;5859902;22294063;161892:2;5569233;21304291:2</vt:lpwstr>
  </property>
  <property fmtid="{D5CDD505-2E9C-101B-9397-08002B2CF9AE}" pid="9" name="CITY">
    <vt:lpwstr>ב"ש</vt:lpwstr>
  </property>
  <property fmtid="{D5CDD505-2E9C-101B-9397-08002B2CF9AE}" pid="10" name="DATE">
    <vt:lpwstr>20200811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70301/144.b;058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15423</vt:lpwstr>
  </property>
  <property fmtid="{D5CDD505-2E9C-101B-9397-08002B2CF9AE}" pid="23" name="NEWPARTB">
    <vt:lpwstr>12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20200825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390120200811</vt:lpwstr>
  </property>
  <property fmtid="{D5CDD505-2E9C-101B-9397-08002B2CF9AE}" pid="69" name="TYPE_N_DATE">
    <vt:lpwstr>39020200811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