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15483-02-12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פחמאווי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</w:rPr>
              <w:t>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פיראס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פחמאווי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300082252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bookmarkStart w:id="8" w:name="ABSTRACT_END"/>
      <w:bookmarkEnd w:id="8"/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6.10.2011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27.12.2011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ווסון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פראבלום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קליבר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וסיפה</w:t>
      </w:r>
      <w:r>
        <w:rPr>
          <w:rFonts w:cs="FrankRuehl"/>
          <w:sz w:val="28"/>
          <w:szCs w:val="28"/>
          <w:rtl w:val="true"/>
        </w:rPr>
        <w:t xml:space="preserve">)+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rtl w:val="true"/>
        </w:rPr>
        <w:t>ל</w:t>
      </w:r>
      <w:hyperlink r:id="rId3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)+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המ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קוגניטיביות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מחאמיד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החטיבה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כחניך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בתנועת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כמדריך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לקהילה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מחאמיד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ממכתבו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חליסה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אקדמת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מילין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שהבהרתי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אוזכרו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5677/11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314/03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רג</w:t>
      </w:r>
      <w:r>
        <w:rPr>
          <w:rFonts w:cs="Miriam"/>
          <w:color w:val="000000"/>
          <w:rtl w:val="true"/>
        </w:rPr>
        <w:t>'</w:t>
      </w:r>
      <w:r>
        <w:rPr>
          <w:rFonts w:cs="Miriam"/>
          <w:color w:val="000000"/>
          <w:rtl w:val="true"/>
        </w:rPr>
        <w:t>אח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שיהד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עווד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3"/>
        <w:tabs>
          <w:tab w:val="clear" w:pos="720"/>
        </w:tabs>
        <w:ind w:start="360" w:end="0"/>
        <w:jc w:val="both"/>
        <w:rPr>
          <w:rFonts w:cs="Miriam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    </w:t>
      </w:r>
      <w:r>
        <w:rPr>
          <w:rFonts w:cs="Miriam"/>
          <w:sz w:val="24"/>
          <w:sz w:val="24"/>
          <w:szCs w:val="24"/>
          <w:rtl w:val="true"/>
        </w:rPr>
        <w:t>דיון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לקהילה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ווסון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5.11.2012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start="1440" w:end="54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rtl w:val="true"/>
        </w:rPr>
        <w:t>אכן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מלאכת הענישה נעשית באופן אינדיבידואלי ותוך מתן משקל לנסיבותיו המיוחדות של העבריין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ואולם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לעולם יישקלו במסגרת גזר הדין נסיבות המקרה הפרטניות לאור מהותה ואופיה של העבירה ועל רקע שיקולים הקשורים באינטרס הציבורי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ובכלל זה שיקולי הרתעה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גמול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שיקום והגנה על שלום הציבור</w:t>
      </w:r>
      <w:r>
        <w:rPr>
          <w:rFonts w:cs="Times New Roman" w:ascii="Times New Roman" w:hAnsi="Times New Roman"/>
          <w:sz w:val="28"/>
          <w:rtl w:val="true"/>
        </w:rPr>
        <w:t xml:space="preserve">", </w:t>
      </w:r>
      <w:hyperlink r:id="rId5"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z w:val="28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z w:val="28"/>
          </w:rPr>
          <w:t>4330/12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אחמד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דעאס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1"/>
        <w:spacing w:lineRule="auto" w:line="240"/>
        <w:ind w:start="1440" w:end="54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rFonts w:ascii="Times New Roman" w:hAnsi="Times New Roman" w:cs="Times New Roman"/>
          <w:sz w:val="28"/>
          <w:sz w:val="28"/>
          <w:rtl w:val="true"/>
        </w:rPr>
        <w:t>ולכן לצד בחינת אופיו החיובי של הנאשם והעדר הרשעות קודמות חשוב 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קחת בחשבון את </w:t>
      </w:r>
      <w:r>
        <w:rPr>
          <w:rFonts w:ascii="Times New Roman" w:hAnsi="Times New Roman" w:cs="Times New Roman"/>
          <w:sz w:val="28"/>
          <w:sz w:val="28"/>
          <w:rtl w:val="true"/>
        </w:rPr>
        <w:t>האינטרס הציבורי והערך החברתי שנפגע</w:t>
      </w:r>
      <w:r>
        <w:rPr>
          <w:rFonts w:ascii="Times New Roman" w:hAnsi="Times New Roman" w:cs="Times New Roman"/>
          <w:sz w:val="28"/>
          <w:sz w:val="28"/>
          <w:rtl w:val="true"/>
        </w:rPr>
        <w:t>ו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עת מדובר בעבירות בנשק בכלל ובסחר בנשק בפרט</w:t>
      </w:r>
      <w:r>
        <w:rPr>
          <w:rFonts w:cs="Times New Roman" w:ascii="Times New Roman" w:hAnsi="Times New Roman"/>
          <w:sz w:val="28"/>
          <w:rtl w:val="true"/>
        </w:rPr>
        <w:t>,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>ובענין זה אפנה ל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חיות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6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2251/11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hyperlink r:id="rId7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2368/11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משטרתי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הזדמנויות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sz w:val="28"/>
          <w:rtl w:val="true"/>
        </w:rPr>
        <w:t>: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spacing w:lineRule="auto" w:line="240"/>
        <w:ind w:start="1440" w:end="567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מפוקפק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המחזיק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למפגעים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למיניהם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מהססים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סואנים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שנקלעו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sz w:val="28"/>
          <w:rtl w:val="true"/>
        </w:rPr>
        <w:t xml:space="preserve">" ...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במציאות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הישראלית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המוחזק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יתגלגל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המבקשים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להוציא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....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במנגנון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מוחזק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הנובעות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כולה</w:t>
      </w:r>
      <w:r>
        <w:rPr>
          <w:sz w:val="28"/>
          <w:rtl w:val="true"/>
        </w:rPr>
        <w:t>...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באומרו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שהמציאות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השוררת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בארץ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זמינותו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פוטנציאל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להסלמה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והאידיאולוגית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מחייבת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rtl w:val="true"/>
        </w:rPr>
        <w:t>" (</w:t>
      </w:r>
      <w:r>
        <w:rPr>
          <w:color w:val="000000"/>
          <w:sz w:val="28"/>
          <w:sz w:val="28"/>
          <w:rtl w:val="true"/>
        </w:rPr>
        <w:t>ע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פ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1332/04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מדינת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ישראל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</w:t>
      </w:r>
      <w:r>
        <w:rPr>
          <w:color w:val="000000"/>
          <w:sz w:val="28"/>
          <w:rtl w:val="true"/>
        </w:rPr>
        <w:t xml:space="preserve">' </w:t>
      </w:r>
      <w:r>
        <w:rPr>
          <w:color w:val="000000"/>
          <w:sz w:val="28"/>
          <w:sz w:val="28"/>
          <w:rtl w:val="true"/>
        </w:rPr>
        <w:t>פס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פ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ד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נח</w:t>
      </w:r>
      <w:r>
        <w:rPr>
          <w:sz w:val="28"/>
          <w:rtl w:val="true"/>
        </w:rPr>
        <w:t>(</w:t>
      </w:r>
      <w:r>
        <w:rPr>
          <w:sz w:val="28"/>
        </w:rPr>
        <w:t>5</w:t>
      </w:r>
      <w:r>
        <w:rPr>
          <w:sz w:val="28"/>
          <w:rtl w:val="true"/>
        </w:rPr>
        <w:t xml:space="preserve">) </w:t>
      </w:r>
      <w:r>
        <w:rPr>
          <w:sz w:val="28"/>
        </w:rPr>
        <w:t>541</w:t>
      </w:r>
      <w:r>
        <w:rPr>
          <w:sz w:val="28"/>
          <w:rtl w:val="true"/>
        </w:rPr>
        <w:t xml:space="preserve">, </w:t>
      </w:r>
      <w:r>
        <w:rPr>
          <w:sz w:val="28"/>
        </w:rPr>
        <w:t>545</w:t>
      </w:r>
      <w:r>
        <w:rPr>
          <w:sz w:val="28"/>
          <w:rtl w:val="true"/>
        </w:rPr>
        <w:t xml:space="preserve"> (</w:t>
      </w:r>
      <w:r>
        <w:rPr>
          <w:sz w:val="28"/>
        </w:rPr>
        <w:t>2004</w:t>
      </w:r>
      <w:r>
        <w:rPr>
          <w:sz w:val="28"/>
          <w:rtl w:val="true"/>
        </w:rPr>
        <w:t xml:space="preserve">) </w:t>
      </w:r>
      <w:r>
        <w:rPr>
          <w:sz w:val="28"/>
          <w:rtl w:val="true"/>
        </w:rPr>
        <w:t>...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8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8012/04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מתאני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sz w:val="28"/>
          <w:rtl w:val="true"/>
        </w:rPr>
        <w:t>...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>" (</w:t>
      </w:r>
      <w:hyperlink r:id="rId9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4460/11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פאיד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פורסם</w:t>
      </w:r>
      <w:r>
        <w:rPr>
          <w:sz w:val="28"/>
          <w:rtl w:val="true"/>
        </w:rPr>
        <w:t xml:space="preserve">, </w:t>
      </w:r>
      <w:r>
        <w:rPr>
          <w:sz w:val="28"/>
        </w:rPr>
        <w:t>28.11.2011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>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כבענייננו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ההיקף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המדאיג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מלמדות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הסמוי</w:t>
      </w:r>
      <w:r>
        <w:rPr>
          <w:sz w:val="28"/>
          <w:rtl w:val="true"/>
        </w:rPr>
        <w:t xml:space="preserve">" </w:t>
      </w:r>
      <w:hyperlink r:id="rId10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2251/11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hyperlink r:id="rId11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2368/11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מאל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נפאע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4.12.2011</w:t>
      </w:r>
      <w:r>
        <w:rPr>
          <w:sz w:val="28"/>
          <w:rtl w:val="true"/>
        </w:rPr>
        <w:t>)</w:t>
      </w:r>
    </w:p>
    <w:p>
      <w:pPr>
        <w:pStyle w:val="Ruller41"/>
        <w:ind w:start="720" w:end="567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360" w:end="0"/>
        <w:jc w:val="both"/>
        <w:rPr>
          <w:sz w:val="28"/>
        </w:rPr>
      </w:pP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נפיצותה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וחומרתה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מפסקי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המגיעים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ברק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ארז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12.9.2012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Ruller41"/>
        <w:spacing w:lineRule="auto" w:line="240"/>
        <w:ind w:start="1440" w:end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עבירות של סחר בנשק הן עבירות חמורות ביותר – המאיימות על שלום הציבור ומהוות </w:t>
      </w:r>
      <w:r>
        <w:rPr>
          <w:rFonts w:cs="Times New Roman" w:ascii="Times New Roman" w:hAnsi="Times New Roman"/>
          <w:sz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rtl w:val="true"/>
        </w:rPr>
        <w:t>שמן</w:t>
      </w:r>
      <w:r>
        <w:rPr>
          <w:rFonts w:cs="Times New Roman" w:ascii="Times New Roman" w:hAnsi="Times New Roman"/>
          <w:sz w:val="28"/>
          <w:rtl w:val="true"/>
        </w:rPr>
        <w:t xml:space="preserve">" </w:t>
      </w:r>
      <w:r>
        <w:rPr>
          <w:rFonts w:ascii="Times New Roman" w:hAnsi="Times New Roman" w:cs="Times New Roman"/>
          <w:sz w:val="28"/>
          <w:sz w:val="28"/>
          <w:rtl w:val="true"/>
        </w:rPr>
        <w:t>על גלגליה של פעילות עבריינית אחרת</w:t>
      </w:r>
      <w:r>
        <w:rPr>
          <w:rFonts w:cs="Times New Roman" w:ascii="Times New Roman" w:hAnsi="Times New Roman"/>
          <w:sz w:val="28"/>
          <w:rtl w:val="true"/>
        </w:rPr>
        <w:t>...</w:t>
      </w:r>
      <w:r>
        <w:rPr>
          <w:rFonts w:ascii="Times New Roman" w:hAnsi="Times New Roman" w:cs="Times New Roman"/>
          <w:sz w:val="28"/>
          <w:sz w:val="28"/>
          <w:rtl w:val="true"/>
        </w:rPr>
        <w:t>נוכח מימדיה המדאיגים של תופעת הסחר הבלתי חוקי בנשק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אשר הומחשו בפנינו פעם נוספת בערעור שלפנינו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ובשל הצורך לסייע בבלימתה באמצעות ענישה מרתיעה – אימץ בית משפט זה עמדה עקרונית לפיה יש להחמיר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ככלל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בענישתם של נאשמים שהורשעו בעבירות נשק בכלל ובעבירות סחר בנשק בפרט</w:t>
      </w:r>
      <w:r>
        <w:rPr>
          <w:rFonts w:cs="Times New Roman" w:ascii="Times New Roman" w:hAnsi="Times New Roman"/>
          <w:sz w:val="28"/>
          <w:rtl w:val="true"/>
        </w:rPr>
        <w:t xml:space="preserve">" </w:t>
      </w:r>
      <w:hyperlink r:id="rId12"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z w:val="28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z w:val="28"/>
          </w:rPr>
          <w:t>5913/11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תאר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הייבי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1"/>
        <w:spacing w:lineRule="auto" w:line="240"/>
        <w:ind w:start="1440" w:end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  <w:tab/>
      </w:r>
      <w:r>
        <w:rPr>
          <w:rFonts w:ascii="Times New Roman" w:hAnsi="Times New Roman" w:cs="Times New Roman"/>
          <w:sz w:val="28"/>
          <w:sz w:val="28"/>
          <w:rtl w:val="true"/>
        </w:rPr>
        <w:t>ו</w:t>
      </w:r>
      <w:r>
        <w:rPr>
          <w:rFonts w:ascii="Times New Roman" w:hAnsi="Times New Roman" w:cs="Times New Roman"/>
          <w:sz w:val="28"/>
          <w:sz w:val="28"/>
          <w:rtl w:val="true"/>
        </w:rPr>
        <w:t>פסק דינו של הש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י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עמית מיום </w:t>
      </w:r>
      <w:r>
        <w:rPr>
          <w:rFonts w:cs="Times New Roman" w:ascii="Times New Roman" w:hAnsi="Times New Roman"/>
          <w:sz w:val="28"/>
        </w:rPr>
        <w:t>8.8.2012</w:t>
      </w:r>
      <w:r>
        <w:rPr>
          <w:rFonts w:cs="Times New Roman" w:ascii="Times New Roman" w:hAnsi="Times New Roman"/>
          <w:sz w:val="28"/>
          <w:rtl w:val="true"/>
        </w:rPr>
        <w:t>:</w:t>
      </w:r>
    </w:p>
    <w:p>
      <w:pPr>
        <w:pStyle w:val="Ruller41"/>
        <w:spacing w:lineRule="auto" w:line="240"/>
        <w:ind w:start="1440" w:end="567"/>
        <w:jc w:val="both"/>
        <w:rPr>
          <w:rFonts w:cs="Miriam"/>
          <w:sz w:val="24"/>
          <w:szCs w:val="24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חנוכה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נועדו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לראותן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נסיון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מלמד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לצערנו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שנרכש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מפוקפקות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לעיתים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למפגעים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למיניהם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מהחוליות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בשרשרת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מוחזקת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הצרכן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הסופי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בקצה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השרשרת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לתרום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במלחמת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החורמה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3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למגמת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14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2251/11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נפאע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" </w:t>
      </w:r>
      <w:hyperlink r:id="rId15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7268/11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גרבאן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 xml:space="preserve">. </w:t>
      </w:r>
    </w:p>
    <w:p>
      <w:pPr>
        <w:pStyle w:val="Ruller41"/>
        <w:ind w:start="720" w:end="567"/>
        <w:jc w:val="both"/>
        <w:rPr>
          <w:rFonts w:cs="Miriam"/>
          <w:sz w:val="28"/>
          <w:szCs w:val="24"/>
        </w:rPr>
      </w:pPr>
      <w:r>
        <w:rPr>
          <w:rFonts w:cs="Miriam"/>
          <w:sz w:val="28"/>
          <w:szCs w:val="24"/>
          <w:rtl w:val="true"/>
        </w:rPr>
      </w:r>
    </w:p>
    <w:p>
      <w:pPr>
        <w:pStyle w:val="Ruller41"/>
        <w:ind w:hanging="440" w:start="80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נגישות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מחסניות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וכדורים</w:t>
      </w:r>
      <w:r>
        <w:rPr>
          <w:sz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רגעית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בתאריך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20.9.2011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למכור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6.10.2011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גנוב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וקיבל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12,000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בחלוף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כחודשיים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26.12.2011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למכור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eastAsia="Arial TUR;Arial" w:cs="Arial TUR;Arial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ולמחרת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סכום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19,000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והגעתם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לאסון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כסוחר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31.1.2012</w:t>
      </w:r>
      <w:r>
        <w:rPr>
          <w:sz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ששוקלים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לסחור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להחזיק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בניגוד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נפעא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4.12.2011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נחשבת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כראויה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sz w:val="28"/>
          <w:rtl w:val="true"/>
        </w:rPr>
        <w:t>.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hanging="440" w:start="800" w:end="0"/>
        <w:jc w:val="start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מלהמליץ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והודייתו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ישמשו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כתמרור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אזהרה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שיחזירו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ותרומתו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סיכום</w:t>
      </w:r>
      <w:bookmarkStart w:id="9" w:name="_GoBack"/>
      <w:bookmarkEnd w:id="9"/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u w:val="single"/>
        </w:rPr>
        <w:t>5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בנשק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שהיא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פשע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לאחריה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31.1.2012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45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יום</w:t>
      </w:r>
      <w:r>
        <w:rPr>
          <w:rFonts w:cs="FrankRuehl"/>
          <w:sz w:val="28"/>
          <w:szCs w:val="28"/>
          <w:u w:val="single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אדם סרי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חמודי מסרי והנאשם באמצעות הליווי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15483-02-12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פיראס פחמאווי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">
    <w:name w:val="Ruller 3"/>
    <w:basedOn w:val="Normal"/>
    <w:qFormat/>
    <w:pPr>
      <w:overflowPunct w:val="false"/>
      <w:spacing w:lineRule="auto" w:line="360"/>
    </w:pPr>
    <w:rPr>
      <w:rFonts w:cs="FrankRuehl"/>
      <w:spacing w:val="10"/>
      <w:sz w:val="22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6246522" TargetMode="External"/><Relationship Id="rId5" Type="http://schemas.openxmlformats.org/officeDocument/2006/relationships/hyperlink" Target="http://www.nevo.co.il/case/5587245" TargetMode="External"/><Relationship Id="rId6" Type="http://schemas.openxmlformats.org/officeDocument/2006/relationships/hyperlink" Target="http://www.nevo.co.il/case/5821327" TargetMode="External"/><Relationship Id="rId7" Type="http://schemas.openxmlformats.org/officeDocument/2006/relationships/hyperlink" Target="http://www.nevo.co.il/case/5821328" TargetMode="External"/><Relationship Id="rId8" Type="http://schemas.openxmlformats.org/officeDocument/2006/relationships/hyperlink" Target="http://www.nevo.co.il/case/6118595" TargetMode="External"/><Relationship Id="rId9" Type="http://schemas.openxmlformats.org/officeDocument/2006/relationships/hyperlink" Target="http://www.nevo.co.il/case/5958231" TargetMode="External"/><Relationship Id="rId10" Type="http://schemas.openxmlformats.org/officeDocument/2006/relationships/hyperlink" Target="http://www.nevo.co.il/case/5821327" TargetMode="External"/><Relationship Id="rId11" Type="http://schemas.openxmlformats.org/officeDocument/2006/relationships/hyperlink" Target="http://www.nevo.co.il/case/5821328" TargetMode="External"/><Relationship Id="rId12" Type="http://schemas.openxmlformats.org/officeDocument/2006/relationships/hyperlink" Target="http://www.nevo.co.il/case/5716796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case/559842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2016-01-14T10:29:00Z</dcterms:created>
  <dc:creator> </dc:creator>
  <dc:description/>
  <cp:keywords/>
  <dc:language>en-IL</dc:language>
  <cp:lastModifiedBy>run</cp:lastModifiedBy>
  <dcterms:modified xsi:type="dcterms:W3CDTF">2016-01-14T10:29:00Z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פיראס פחמאווי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ProcID=133&amp;PartA=314&amp;PartC=03</vt:lpwstr>
  </property>
  <property fmtid="{D5CDD505-2E9C-101B-9397-08002B2CF9AE}" pid="9" name="CASENOTES2">
    <vt:lpwstr>ProcID=133;209&amp;PartA=1332&amp;PartC=04</vt:lpwstr>
  </property>
  <property fmtid="{D5CDD505-2E9C-101B-9397-08002B2CF9AE}" pid="10" name="CASESLISTTMP1">
    <vt:lpwstr>6246522;5587245;5821327:3;5821328:2;6118595;5958231;5716796;5598421</vt:lpwstr>
  </property>
  <property fmtid="{D5CDD505-2E9C-101B-9397-08002B2CF9AE}" pid="11" name="CITY">
    <vt:lpwstr>חי'</vt:lpwstr>
  </property>
  <property fmtid="{D5CDD505-2E9C-101B-9397-08002B2CF9AE}" pid="12" name="DATE">
    <vt:lpwstr>20121115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אברהם אליקים</vt:lpwstr>
  </property>
  <property fmtid="{D5CDD505-2E9C-101B-9397-08002B2CF9AE}" pid="16" name="LAWLISTTMP1">
    <vt:lpwstr>70301:2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15483</vt:lpwstr>
  </property>
  <property fmtid="{D5CDD505-2E9C-101B-9397-08002B2CF9AE}" pid="24" name="NEWPARTB">
    <vt:lpwstr>02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390020121115</vt:lpwstr>
  </property>
  <property fmtid="{D5CDD505-2E9C-101B-9397-08002B2CF9AE}" pid="36" name="TYPE_N_DATE">
    <vt:lpwstr>39020121115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