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15530-08-10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 לוי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יערה לב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י </w:t>
      </w: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חאלד אבו אחמד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ABSTRACT_START"/>
      <w:bookmarkStart w:id="6" w:name="PsakDin"/>
      <w:bookmarkStart w:id="7" w:name="ABSTRACT_START"/>
      <w:bookmarkEnd w:id="6"/>
      <w:bookmarkEnd w:id="7"/>
    </w:p>
    <w:p>
      <w:pPr>
        <w:pStyle w:val="David"/>
        <w:ind w:end="0"/>
        <w:jc w:val="both"/>
        <w:rPr/>
      </w:pPr>
      <w:r>
        <w:rPr>
          <w:rtl w:val="true"/>
        </w:rPr>
        <w:t>על סמך הודאת הנאשם בעובדות כתב אישום מתוקן</w:t>
      </w:r>
      <w:r>
        <w:rPr>
          <w:rtl w:val="true"/>
        </w:rPr>
        <w:t xml:space="preserve">, </w:t>
      </w:r>
      <w:r>
        <w:rPr>
          <w:rtl w:val="true"/>
        </w:rPr>
        <w:t>הורשע הנאשם בעבירות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>
          <w:rtl w:val="true"/>
        </w:rPr>
        <w:t>רישא</w:t>
      </w:r>
      <w:r>
        <w:rPr>
          <w:rtl w:val="true"/>
        </w:rPr>
        <w:t>) + (</w:t>
      </w:r>
      <w:r>
        <w:rPr>
          <w:rtl w:val="true"/>
        </w:rPr>
        <w:t>ג</w:t>
      </w:r>
      <w:r>
        <w:rPr>
          <w:rtl w:val="true"/>
        </w:rPr>
        <w:t>)+(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 xml:space="preserve">בכך בשנת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במועד מדויק שאינו ידוע למאשימה</w:t>
      </w:r>
      <w:r>
        <w:rPr>
          <w:rtl w:val="true"/>
        </w:rPr>
        <w:t xml:space="preserve">, </w:t>
      </w:r>
      <w:r>
        <w:rPr>
          <w:rtl w:val="true"/>
        </w:rPr>
        <w:t>קיבל הנאשם מאחר</w:t>
      </w:r>
      <w:r>
        <w:rPr>
          <w:rtl w:val="true"/>
        </w:rPr>
        <w:t xml:space="preserve">, </w:t>
      </w:r>
      <w:r>
        <w:rPr>
          <w:rtl w:val="true"/>
        </w:rPr>
        <w:t>שזהותו אינה ידועה למאשימה</w:t>
      </w:r>
      <w:r>
        <w:rPr>
          <w:rtl w:val="true"/>
        </w:rPr>
        <w:t xml:space="preserve">, </w:t>
      </w:r>
      <w:r>
        <w:rPr>
          <w:rtl w:val="true"/>
        </w:rPr>
        <w:t xml:space="preserve">אקדח מסוג </w:t>
      </w:r>
      <w:r>
        <w:rPr/>
        <w:t>GECADO</w:t>
      </w:r>
      <w:r>
        <w:rPr>
          <w:rtl w:val="true"/>
        </w:rPr>
        <w:t xml:space="preserve"> </w:t>
      </w:r>
      <w:r>
        <w:rPr>
          <w:rtl w:val="true"/>
        </w:rPr>
        <w:t xml:space="preserve">בקוטר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 xml:space="preserve">"). </w:t>
      </w:r>
    </w:p>
    <w:p>
      <w:pPr>
        <w:pStyle w:val="David"/>
        <w:ind w:end="0"/>
        <w:jc w:val="both"/>
        <w:rPr/>
      </w:pPr>
      <w:bookmarkStart w:id="8" w:name="ABSTRACT_END"/>
      <w:bookmarkEnd w:id="8"/>
      <w:r>
        <w:rPr>
          <w:rtl w:val="true"/>
        </w:rPr>
        <w:t>מאותו יום החזיק הנאשם באקדח הנ</w:t>
      </w:r>
      <w:r>
        <w:rPr>
          <w:rtl w:val="true"/>
        </w:rPr>
        <w:t>"</w:t>
      </w:r>
      <w:r>
        <w:rPr>
          <w:rtl w:val="true"/>
        </w:rPr>
        <w:t>ל בביתו בטבריה וזאת בלי רשות על פי דין לעשות כן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בטיעוניה לעונש עתרה המאשימה להטלת מאסר בפועל בנוסף לעונשים נלווים</w:t>
      </w:r>
      <w:r>
        <w:rPr>
          <w:rtl w:val="true"/>
        </w:rPr>
        <w:t xml:space="preserve">, </w:t>
      </w:r>
      <w:r>
        <w:rPr>
          <w:rtl w:val="true"/>
        </w:rPr>
        <w:t>תוך ציון חומרת מעשיו של הנאשם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פרש בפני הסנגור המלומד את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מצבו הרפואי והכלכלי ועברו הפלילי המסתכם בעבירה אחת של איומים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עבירות הנשק הפכו לאחרונה לתופעה מדאיגה בחברה הישראלית ורבות נכתב על הסכנות הטמונות בהחזקת נשקים בלתי מורשים והשלכות של עבירות אלה על ביטחון ושלום הציבור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נכון הוא שהגישה לאחרונה של בתי המשפט להכביד בענישה בעבירות נשק בשל הסכנות הטמונות אך לעולם הענישה הינה אינדיווידואלית וכל מקרה נבדק בהתאם לנסיבותיו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 xml:space="preserve">לפני נאשם יליד </w:t>
      </w:r>
      <w:r>
        <w:rPr/>
        <w:t>1957</w:t>
      </w:r>
      <w:r>
        <w:rPr>
          <w:rtl w:val="true"/>
        </w:rPr>
        <w:t xml:space="preserve"> </w:t>
      </w:r>
      <w:r>
        <w:rPr>
          <w:rtl w:val="true"/>
        </w:rPr>
        <w:t xml:space="preserve">אשר החזיק את האקדח מאז שנת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ואין כל ראיה שנאשם זה עשה שימוש כלשהו בנשק אותו החזיק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  <w:t>זאת ועוד מדובר בנאשם אשר הודה בהזדמנות הראשונה</w:t>
      </w:r>
      <w:r>
        <w:rPr>
          <w:rtl w:val="true"/>
        </w:rPr>
        <w:t xml:space="preserve">, </w:t>
      </w:r>
      <w:r>
        <w:rPr>
          <w:rtl w:val="true"/>
        </w:rPr>
        <w:t>חסך מזמנו השיפוטי היקר של 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מצבו הכלכלי כפי שהוגדר ע</w:t>
      </w:r>
      <w:r>
        <w:rPr>
          <w:rtl w:val="true"/>
        </w:rPr>
        <w:t>"</w:t>
      </w:r>
      <w:r>
        <w:rPr>
          <w:rtl w:val="true"/>
        </w:rPr>
        <w:t>י הסנגור המלומד</w:t>
      </w:r>
      <w:r>
        <w:rPr>
          <w:rtl w:val="true"/>
        </w:rPr>
        <w:t xml:space="preserve">, </w:t>
      </w:r>
      <w:r>
        <w:rPr>
          <w:rtl w:val="true"/>
        </w:rPr>
        <w:t>אינו מטיב עימו וגם לא הבריאותי וכי נסיבותיו האישיות אכן מצדיקות סטייה ממגמת הענישה הננקטת בימים אלה בעבירות נשק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אי לכך ושלא כתקדים</w:t>
      </w:r>
      <w:r>
        <w:rPr>
          <w:rtl w:val="true"/>
        </w:rPr>
        <w:t xml:space="preserve">, </w:t>
      </w:r>
      <w:r>
        <w:rPr>
          <w:rtl w:val="true"/>
        </w:rPr>
        <w:t>ועל סמך כל אשר פורט לעיל</w:t>
      </w:r>
      <w:r>
        <w:rPr>
          <w:rtl w:val="true"/>
        </w:rPr>
        <w:t xml:space="preserve">, </w:t>
      </w:r>
      <w:r>
        <w:rPr>
          <w:rtl w:val="true"/>
        </w:rPr>
        <w:t>הריני לקבוע כי אין זה המקרה שיש למצות את הדין עם הנאשם והתוצאה שאני גוזר על הנאשם את העונשים הבאים</w:t>
      </w:r>
      <w:r>
        <w:rPr>
          <w:rtl w:val="true"/>
        </w:rPr>
        <w:t xml:space="preserve">: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אני דן את הנאשם לתשלום קנס בסך של </w:t>
      </w:r>
      <w:r>
        <w:rPr/>
        <w:t>6,000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</w:p>
    <w:p>
      <w:pPr>
        <w:pStyle w:val="David"/>
        <w:ind w:start="720" w:end="0"/>
        <w:jc w:val="both"/>
        <w:rPr/>
      </w:pPr>
      <w:r>
        <w:rPr>
          <w:rtl w:val="true"/>
        </w:rPr>
        <w:t>הקנס ישולם 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שיעורים חודשיים שווים ורצופים החל ביום </w:t>
      </w:r>
      <w:r>
        <w:rPr/>
        <w:t>01.01.12</w:t>
      </w:r>
      <w:r>
        <w:rPr>
          <w:rtl w:val="true"/>
        </w:rPr>
        <w:t xml:space="preserve"> </w:t>
      </w:r>
      <w:r>
        <w:rPr>
          <w:rtl w:val="true"/>
        </w:rPr>
        <w:t>ועד התשלום המלא בפועל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אני דן את הנאשם למאסר לתקופה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מתוכם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לריצוי בפועל אשר ירוצו בעבודות שירות ואילו היתרה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והתנאי שהנאשם לא יעבור ויורשע בפרק זמן זה על אותה עבירה בה הורשע בכתב אישום מתוקן זה ועל כל עבירת נשק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הנאשם ירצה את עבודות השירות במועצת הפועלים טבריה החל מיום </w:t>
      </w:r>
      <w:r>
        <w:rPr/>
        <w:t>24.10.11</w:t>
      </w:r>
      <w:r>
        <w:rPr>
          <w:rtl w:val="true"/>
        </w:rPr>
        <w:t xml:space="preserve"> </w:t>
      </w:r>
      <w:r>
        <w:rPr>
          <w:rtl w:val="true"/>
        </w:rPr>
        <w:t>ועד תום התקופה ברציפות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משפט 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David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end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אלול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13/09/2011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15530-08-10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דני לוי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2011-09-20T10:52:00Z</dcterms:created>
  <dc:creator> </dc:creator>
  <dc:description/>
  <cp:keywords/>
  <dc:language>en-IL</dc:language>
  <cp:lastModifiedBy>hofit</cp:lastModifiedBy>
  <dcterms:modified xsi:type="dcterms:W3CDTF">2011-09-20T10:52:00Z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דני לוי</vt:lpwstr>
  </property>
  <property fmtid="{D5CDD505-2E9C-101B-9397-08002B2CF9AE}" pid="4" name="CITY">
    <vt:lpwstr>נצ'</vt:lpwstr>
  </property>
  <property fmtid="{D5CDD505-2E9C-101B-9397-08002B2CF9AE}" pid="5" name="DATE">
    <vt:lpwstr>20110913</vt:lpwstr>
  </property>
  <property fmtid="{D5CDD505-2E9C-101B-9397-08002B2CF9AE}" pid="6" name="ISABSTRACT">
    <vt:lpwstr>Y</vt:lpwstr>
  </property>
  <property fmtid="{D5CDD505-2E9C-101B-9397-08002B2CF9AE}" pid="7" name="JUDGE">
    <vt:lpwstr>תאופיק כתילי</vt:lpwstr>
  </property>
  <property fmtid="{D5CDD505-2E9C-101B-9397-08002B2CF9AE}" pid="8" name="LAWYER">
    <vt:lpwstr>ו חאלד אבו אחמד;יערה לב</vt:lpwstr>
  </property>
  <property fmtid="{D5CDD505-2E9C-101B-9397-08002B2CF9AE}" pid="9" name="NEWPARTA">
    <vt:lpwstr>15530</vt:lpwstr>
  </property>
  <property fmtid="{D5CDD505-2E9C-101B-9397-08002B2CF9AE}" pid="10" name="NEWPARTB">
    <vt:lpwstr>08</vt:lpwstr>
  </property>
  <property fmtid="{D5CDD505-2E9C-101B-9397-08002B2CF9AE}" pid="11" name="NEWPARTC">
    <vt:lpwstr>10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390020110913</vt:lpwstr>
  </property>
  <property fmtid="{D5CDD505-2E9C-101B-9397-08002B2CF9AE}" pid="16" name="TYPE_N_DATE">
    <vt:lpwstr>39020110913</vt:lpwstr>
  </property>
  <property fmtid="{D5CDD505-2E9C-101B-9397-08002B2CF9AE}" pid="17" name="WORDNUMPAGES">
    <vt:lpwstr>2</vt:lpwstr>
  </property>
</Properties>
</file>