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1571-05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המחלקה לתיקים מיוחדים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שחם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דניאלה שריזלי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המחלקה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המשפטית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לתיקים מיוחדים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לו ענבר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 שחם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תנופה שירותי עבודה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כיוון ודרך שירותי כח אדם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כח עוצמה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תנופה שירותי כח אדם ואחזקות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תנופה שירותי כח אדם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מוקד עוצמה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מוטי לזר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overflowPunct w:val="false"/>
        <w:autoSpaceDE w:val="false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overflowPunct w:val="false"/>
        <w:autoSpaceDE w:val="false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overflowPunct w:val="false"/>
        <w:autoSpaceDE w:val="false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BodyText"/>
        <w:spacing w:lineRule="auto" w:line="360"/>
        <w:ind w:end="0"/>
        <w:jc w:val="both"/>
        <w:rPr>
          <w:rFonts w:ascii="Arial" w:hAnsi="Arial" w:cs="David"/>
          <w:sz w:val="26"/>
        </w:rPr>
      </w:pPr>
      <w:r>
        <w:rPr>
          <w:rFonts w:ascii="Arial" w:hAnsi="Arial" w:cs="David"/>
          <w:sz w:val="26"/>
          <w:sz w:val="26"/>
          <w:rtl w:val="true"/>
        </w:rPr>
        <w:t>על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יסוד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הודאת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הנאשם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cs="David" w:ascii="Arial" w:hAnsi="Arial"/>
          <w:sz w:val="26"/>
        </w:rPr>
        <w:t>1</w:t>
      </w:r>
      <w:r>
        <w:rPr>
          <w:rFonts w:cs="David" w:ascii="Arial" w:hAnsi="Arial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בשמו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ובשם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הנאשמות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האחרות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בעובדות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כתב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האישום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המתוקן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אשר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הוגש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היום</w:t>
      </w:r>
      <w:r>
        <w:rPr>
          <w:rFonts w:cs="David" w:ascii="Arial" w:hAnsi="Arial"/>
          <w:sz w:val="26"/>
          <w:rtl w:val="true"/>
        </w:rPr>
        <w:t>,</w:t>
      </w:r>
      <w:r>
        <w:rPr>
          <w:rFonts w:cs="David" w:ascii="Arial" w:hAnsi="Arial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אני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מרשיעה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א</w:t>
      </w:r>
      <w:r>
        <w:rPr>
          <w:rFonts w:ascii="Arial" w:hAnsi="Arial" w:cs="David"/>
          <w:sz w:val="26"/>
          <w:sz w:val="26"/>
          <w:rtl w:val="true"/>
        </w:rPr>
        <w:t>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בעבירה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לפי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סעיף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cs="David" w:ascii="Arial" w:hAnsi="Arial"/>
          <w:sz w:val="26"/>
        </w:rPr>
        <w:t>117</w:t>
      </w:r>
      <w:r>
        <w:rPr>
          <w:rFonts w:cs="David" w:ascii="Arial" w:hAnsi="Arial"/>
          <w:sz w:val="26"/>
          <w:rtl w:val="true"/>
        </w:rPr>
        <w:t>(</w:t>
      </w:r>
      <w:r>
        <w:rPr>
          <w:rFonts w:ascii="Arial" w:hAnsi="Arial" w:cs="David"/>
          <w:sz w:val="26"/>
          <w:sz w:val="26"/>
          <w:rtl w:val="true"/>
        </w:rPr>
        <w:t>א</w:t>
      </w:r>
      <w:r>
        <w:rPr>
          <w:rFonts w:cs="David" w:ascii="Arial" w:hAnsi="Arial"/>
          <w:sz w:val="26"/>
          <w:rtl w:val="true"/>
        </w:rPr>
        <w:t>)(</w:t>
      </w:r>
      <w:r>
        <w:rPr>
          <w:rFonts w:cs="David" w:ascii="Arial" w:hAnsi="Arial"/>
          <w:sz w:val="26"/>
        </w:rPr>
        <w:t>3</w:t>
      </w:r>
      <w:r>
        <w:rPr>
          <w:rFonts w:cs="David" w:ascii="Arial" w:hAnsi="Arial"/>
          <w:sz w:val="26"/>
          <w:rtl w:val="true"/>
        </w:rPr>
        <w:t xml:space="preserve">) </w:t>
      </w:r>
      <w:r>
        <w:rPr>
          <w:rFonts w:ascii="Arial" w:hAnsi="Arial" w:cs="David"/>
          <w:sz w:val="26"/>
          <w:sz w:val="26"/>
          <w:rtl w:val="true"/>
        </w:rPr>
        <w:t>ל</w:t>
      </w:r>
      <w:hyperlink r:id="rId2">
        <w:r>
          <w:rPr>
            <w:rStyle w:val="Hyperlink"/>
            <w:rFonts w:ascii="Arial" w:hAnsi="Arial" w:cs="David"/>
            <w:color w:val="0000FF"/>
            <w:sz w:val="26"/>
            <w:sz w:val="26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u w:val="single"/>
            <w:rtl w:val="true"/>
          </w:rPr>
          <w:t>מס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u w:val="single"/>
            <w:rtl w:val="true"/>
          </w:rPr>
          <w:t>ערך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u w:val="single"/>
            <w:rtl w:val="true"/>
          </w:rPr>
          <w:t>מוסף</w:t>
        </w:r>
      </w:hyperlink>
      <w:r>
        <w:rPr>
          <w:rFonts w:cs="David" w:ascii="Arial" w:hAnsi="Arial"/>
          <w:sz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rtl w:val="true"/>
        </w:rPr>
        <w:t>התשל</w:t>
      </w:r>
      <w:r>
        <w:rPr>
          <w:rFonts w:cs="David" w:ascii="Arial" w:hAnsi="Arial"/>
          <w:sz w:val="26"/>
          <w:rtl w:val="true"/>
        </w:rPr>
        <w:t>"</w:t>
      </w:r>
      <w:r>
        <w:rPr>
          <w:rFonts w:ascii="Arial" w:hAnsi="Arial" w:cs="David"/>
          <w:sz w:val="26"/>
          <w:sz w:val="26"/>
          <w:rtl w:val="true"/>
        </w:rPr>
        <w:t>ו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–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cs="David" w:ascii="Arial" w:hAnsi="Arial"/>
          <w:sz w:val="26"/>
        </w:rPr>
        <w:t>1975</w:t>
      </w:r>
      <w:r>
        <w:rPr>
          <w:rFonts w:cs="David" w:ascii="Arial" w:hAnsi="Arial"/>
          <w:sz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rtl w:val="true"/>
        </w:rPr>
        <w:t>מסירת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דוחות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הכוללים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ידיעות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שאינן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נכונות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בלא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הסבר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סביר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cs="David" w:ascii="Arial" w:hAnsi="Arial"/>
          <w:sz w:val="26"/>
          <w:rtl w:val="true"/>
        </w:rPr>
        <w:t>(</w:t>
      </w:r>
      <w:r>
        <w:rPr>
          <w:rFonts w:cs="David" w:ascii="Arial" w:hAnsi="Arial"/>
          <w:sz w:val="26"/>
        </w:rPr>
        <w:t>30</w:t>
      </w:r>
      <w:r>
        <w:rPr>
          <w:rFonts w:cs="David" w:ascii="Arial" w:hAnsi="Arial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פרטי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אישום</w:t>
      </w:r>
      <w:r>
        <w:rPr>
          <w:rFonts w:cs="David" w:ascii="Arial" w:hAnsi="Arial"/>
          <w:sz w:val="26"/>
          <w:rtl w:val="true"/>
        </w:rPr>
        <w:t xml:space="preserve">). </w:t>
      </w:r>
    </w:p>
    <w:p>
      <w:pPr>
        <w:pStyle w:val="BodyText"/>
        <w:spacing w:lineRule="auto" w:line="360"/>
        <w:ind w:end="0"/>
        <w:jc w:val="both"/>
        <w:rPr>
          <w:rFonts w:ascii="Arial" w:hAnsi="Arial" w:cs="David"/>
          <w:sz w:val="6"/>
          <w:szCs w:val="6"/>
        </w:rPr>
      </w:pPr>
      <w:r>
        <w:rPr>
          <w:rFonts w:cs="David" w:ascii="Arial" w:hAnsi="Arial"/>
          <w:sz w:val="6"/>
          <w:szCs w:val="6"/>
          <w:rtl w:val="true"/>
        </w:rPr>
        <w:t>&lt;</w:t>
      </w:r>
      <w:r>
        <w:rPr>
          <w:rFonts w:cs="David" w:ascii="Arial" w:hAnsi="Arial"/>
          <w:sz w:val="6"/>
          <w:szCs w:val="6"/>
        </w:rPr>
        <w:t>#4#</w:t>
      </w:r>
      <w:r>
        <w:rPr>
          <w:rFonts w:cs="David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David"/>
          <w:sz w:val="6"/>
          <w:szCs w:val="6"/>
        </w:rPr>
      </w:pPr>
      <w:r>
        <w:rPr>
          <w:rFonts w:cs="David" w:ascii="Arial" w:hAnsi="Arial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שריזלי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בטרם יטענו הצדדים לעונש על פי ההסדר שביניהם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מורה על קבלת חוות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דעת 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אני קובעת את הדיון לקבלת חוות דעת הממונה וטיעונים לעונש לתאריך </w:t>
      </w:r>
      <w:r>
        <w:rPr>
          <w:rFonts w:cs="Arial" w:ascii="Arial" w:hAnsi="Arial"/>
          <w:sz w:val="26"/>
          <w:szCs w:val="26"/>
        </w:rPr>
        <w:t>9.12.09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שעה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cs="Arial" w:ascii="Arial" w:hAnsi="Arial"/>
          <w:sz w:val="26"/>
          <w:szCs w:val="26"/>
        </w:rPr>
        <w:t>08.30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הממונה על עבודת השירות יגיש חוות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דעת אם ניתן לנאשם לרצות עונש של מאסר בעבודות שירות ציבוריות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כתובת הנאשם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רחוב בוסתנאי </w:t>
      </w:r>
      <w:r>
        <w:rPr>
          <w:rFonts w:cs="Arial" w:ascii="Arial" w:hAnsi="Arial"/>
          <w:sz w:val="26"/>
          <w:szCs w:val="26"/>
        </w:rPr>
        <w:t>61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רמת השרון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טל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נייד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cs="Arial" w:ascii="Arial" w:hAnsi="Arial"/>
          <w:sz w:val="26"/>
          <w:szCs w:val="26"/>
        </w:rPr>
        <w:t>0509666111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מודע בזאת לנאשם על חובתו למלא אחר דרישות 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המזכירות תעביר העתק החלטתי לממונה על עבודות השירות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לנוחיות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הממונה על עבודות השירות</w:t>
      </w:r>
      <w:r>
        <w:rPr>
          <w:rFonts w:cs="Arial" w:ascii="Arial" w:hAnsi="Arial"/>
          <w:sz w:val="26"/>
          <w:szCs w:val="26"/>
          <w:rtl w:val="true"/>
        </w:rPr>
        <w:t>:</w:t>
      </w:r>
      <w:r>
        <w:rPr>
          <w:rFonts w:cs="Arial" w:ascii="Arial" w:hAnsi="Arial"/>
          <w:sz w:val="26"/>
          <w:szCs w:val="26"/>
        </w:rPr>
        <w:t>08-9776363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08-9776903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#6#</w:t>
      </w:r>
      <w:r>
        <w:rPr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דניאלה שריזלי </w:t>
      </w:r>
      <w:r>
        <w:rPr>
          <w:color w:val="000000"/>
          <w:sz w:val="22"/>
          <w:szCs w:val="22"/>
        </w:rPr>
        <w:t>54678313-1571/05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שריזלי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Heading1"/>
        <w:overflowPunct w:val="false"/>
        <w:autoSpaceDE w:val="false"/>
        <w:spacing w:lineRule="auto" w:line="36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יעלה</w:t>
      </w:r>
      <w:r>
        <w:rPr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חגית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אצלן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/Users/liorb/Downloads/study2025-p2/SH-05-1571-841.doc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1571-05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המחלקה המשפטית לתיקים מיוחדים – מע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 נ</w:t>
    </w:r>
    <w:r>
      <w:rPr>
        <w:color w:val="000000"/>
        <w:sz w:val="22"/>
        <w:szCs w:val="22"/>
        <w:rtl w:val="true"/>
      </w:rPr>
      <w:t xml:space="preserve">'  </w:t>
    </w:r>
    <w:r>
      <w:rPr>
        <w:color w:val="000000"/>
        <w:sz w:val="22"/>
        <w:sz w:val="22"/>
        <w:szCs w:val="22"/>
        <w:rtl w:val="true"/>
      </w:rPr>
      <w:t xml:space="preserve">מרדכי שחם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overflowPunct w:val="false"/>
      <w:autoSpaceDE w:val="false"/>
      <w:jc w:val="both"/>
    </w:pPr>
    <w:rPr>
      <w:rFonts w:ascii="Times New Roman" w:hAnsi="Times New Roman" w:eastAsia="Times New Roman" w:cs="Arial"/>
      <w:sz w:val="28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71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2009-10-29T06:21:00Z</dcterms:created>
  <dc:creator> </dc:creator>
  <dc:description/>
  <cp:keywords/>
  <dc:language>en-IL</dc:language>
  <cp:lastModifiedBy>Hofitdvir</cp:lastModifiedBy>
  <dcterms:modified xsi:type="dcterms:W3CDTF">2009-10-29T09:56:00Z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המחלקה המשפטית לתיקים מיוחדים – מע#מ</vt:lpwstr>
  </property>
  <property fmtid="{D5CDD505-2E9C-101B-9397-08002B2CF9AE}" pid="3" name="APPELLEE">
    <vt:lpwstr> מרדכי שחם ;תנופה שירותי עבודה (1997) בע#מ;כיוון ודרך שירותי כח אדם בע#מ;כח עוצמה בע#מ;תנופה שירותי כח אדם ואחזקות (1991) בע#מ;תנופה שירותי כח אדם בע#מ;מוקד עוצמה בע#מ</vt:lpwstr>
  </property>
  <property fmtid="{D5CDD505-2E9C-101B-9397-08002B2CF9AE}" pid="4" name="CITY">
    <vt:lpwstr>ת"א</vt:lpwstr>
  </property>
  <property fmtid="{D5CDD505-2E9C-101B-9397-08002B2CF9AE}" pid="5" name="DATE">
    <vt:lpwstr>20091028</vt:lpwstr>
  </property>
  <property fmtid="{D5CDD505-2E9C-101B-9397-08002B2CF9AE}" pid="6" name="DELEMATA">
    <vt:lpwstr/>
  </property>
  <property fmtid="{D5CDD505-2E9C-101B-9397-08002B2CF9AE}" pid="7" name="JUDGE">
    <vt:lpwstr>דניאלה שריזלי</vt:lpwstr>
  </property>
  <property fmtid="{D5CDD505-2E9C-101B-9397-08002B2CF9AE}" pid="8" name="LAWYER">
    <vt:lpwstr>לו ענבר;מוטי לזר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1571</vt:lpwstr>
  </property>
  <property fmtid="{D5CDD505-2E9C-101B-9397-08002B2CF9AE}" pid="22" name="NEWPARTB">
    <vt:lpwstr/>
  </property>
  <property fmtid="{D5CDD505-2E9C-101B-9397-08002B2CF9AE}" pid="23" name="NEWPARTC">
    <vt:lpwstr>05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1571</vt:lpwstr>
  </property>
  <property fmtid="{D5CDD505-2E9C-101B-9397-08002B2CF9AE}" pid="30" name="PROCYEAR">
    <vt:lpwstr>05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05 1571 841 htm</vt:lpwstr>
  </property>
  <property fmtid="{D5CDD505-2E9C-101B-9397-08002B2CF9AE}" pid="33" name="TYPE">
    <vt:lpwstr>3</vt:lpwstr>
  </property>
  <property fmtid="{D5CDD505-2E9C-101B-9397-08002B2CF9AE}" pid="34" name="TYPE_ABS_DATE">
    <vt:lpwstr>380020091028</vt:lpwstr>
  </property>
  <property fmtid="{D5CDD505-2E9C-101B-9397-08002B2CF9AE}" pid="35" name="TYPE_N_DATE">
    <vt:lpwstr>38020091028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